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2F62" w14:textId="31579B2E" w:rsidR="00C22FF3" w:rsidRPr="00150F99" w:rsidRDefault="00C22FF3">
      <w:pPr>
        <w:rPr>
          <w:rFonts w:ascii="Times New Roman" w:hAnsi="Times New Roman" w:cs="Times New Roman"/>
          <w:b/>
          <w:bCs/>
        </w:rPr>
      </w:pPr>
      <w:r w:rsidRPr="00150F99">
        <w:rPr>
          <w:rFonts w:ascii="Times New Roman" w:hAnsi="Times New Roman" w:cs="Times New Roman"/>
          <w:b/>
          <w:bCs/>
        </w:rPr>
        <w:t>Replication Package for “Global Transmission of FED Hikes: The Role of Policy Credibility and Balance Sheets”, by</w:t>
      </w:r>
      <w:r w:rsidRPr="00150F9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50F99">
        <w:rPr>
          <w:rFonts w:ascii="Times New Roman" w:hAnsi="Times New Roman" w:cs="Times New Roman"/>
          <w:b/>
          <w:bCs/>
        </w:rPr>
        <w:t>Sebnem Kalemli- Özcan and Filiz Unsal</w:t>
      </w:r>
    </w:p>
    <w:p w14:paraId="4DB7B948" w14:textId="77777777" w:rsidR="00C22FF3" w:rsidRPr="00150F99" w:rsidRDefault="00C22FF3">
      <w:pPr>
        <w:rPr>
          <w:rFonts w:ascii="Times New Roman" w:hAnsi="Times New Roman" w:cs="Times New Roman"/>
          <w:b/>
          <w:bCs/>
        </w:rPr>
      </w:pPr>
    </w:p>
    <w:p w14:paraId="6C4173DB" w14:textId="77777777" w:rsidR="00290825" w:rsidRPr="00150F99" w:rsidRDefault="00290825">
      <w:pPr>
        <w:rPr>
          <w:rFonts w:ascii="Times New Roman" w:hAnsi="Times New Roman" w:cs="Times New Roman"/>
          <w:b/>
          <w:bCs/>
        </w:rPr>
      </w:pPr>
    </w:p>
    <w:p w14:paraId="41D113BC" w14:textId="7E9627FE" w:rsidR="00290825" w:rsidRPr="00150F99" w:rsidRDefault="00290825">
      <w:pPr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  <w:b/>
          <w:bCs/>
        </w:rPr>
        <w:t xml:space="preserve">Data_programs. </w:t>
      </w:r>
      <w:r w:rsidRPr="00150F99">
        <w:rPr>
          <w:rFonts w:ascii="Times New Roman" w:hAnsi="Times New Roman" w:cs="Times New Roman"/>
        </w:rPr>
        <w:t>In this folder you can find for each figure and table, the code and data that are necessary to generate them.</w:t>
      </w:r>
    </w:p>
    <w:p w14:paraId="5807C81C" w14:textId="77777777" w:rsidR="00290825" w:rsidRPr="00150F99" w:rsidRDefault="00290825">
      <w:pPr>
        <w:rPr>
          <w:rFonts w:ascii="Times New Roman" w:hAnsi="Times New Roman" w:cs="Times New Roman"/>
          <w:b/>
          <w:bCs/>
        </w:rPr>
      </w:pPr>
    </w:p>
    <w:p w14:paraId="0DE45C17" w14:textId="37F4B012" w:rsidR="00290825" w:rsidRPr="00150F99" w:rsidRDefault="00290825">
      <w:pPr>
        <w:rPr>
          <w:rFonts w:ascii="Times New Roman" w:hAnsi="Times New Roman" w:cs="Times New Roman"/>
          <w:b/>
          <w:bCs/>
        </w:rPr>
      </w:pPr>
      <w:r w:rsidRPr="00150F99">
        <w:rPr>
          <w:rFonts w:ascii="Times New Roman" w:hAnsi="Times New Roman" w:cs="Times New Roman"/>
          <w:b/>
          <w:bCs/>
        </w:rPr>
        <w:t xml:space="preserve">Figures. </w:t>
      </w:r>
      <w:r w:rsidRPr="00150F99">
        <w:rPr>
          <w:rFonts w:ascii="Times New Roman" w:hAnsi="Times New Roman" w:cs="Times New Roman"/>
        </w:rPr>
        <w:t xml:space="preserve">In this folder you can find for each figure and table, </w:t>
      </w:r>
      <w:r w:rsidR="001B55B0" w:rsidRPr="00150F99">
        <w:rPr>
          <w:rFonts w:ascii="Times New Roman" w:hAnsi="Times New Roman" w:cs="Times New Roman"/>
        </w:rPr>
        <w:t>their</w:t>
      </w:r>
      <w:r w:rsidRPr="00150F99">
        <w:rPr>
          <w:rFonts w:ascii="Times New Roman" w:hAnsi="Times New Roman" w:cs="Times New Roman"/>
        </w:rPr>
        <w:t xml:space="preserve"> PDF and the output data that generates them.</w:t>
      </w:r>
    </w:p>
    <w:p w14:paraId="616AD8B3" w14:textId="77777777" w:rsidR="00290825" w:rsidRPr="00150F99" w:rsidRDefault="00290825">
      <w:pPr>
        <w:rPr>
          <w:rFonts w:ascii="Times New Roman" w:hAnsi="Times New Roman" w:cs="Times New Roman"/>
        </w:rPr>
      </w:pPr>
    </w:p>
    <w:p w14:paraId="26142E42" w14:textId="7C6FA6B1" w:rsidR="005023E6" w:rsidRPr="00150F99" w:rsidRDefault="005023E6">
      <w:pPr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  <w:b/>
          <w:bCs/>
        </w:rPr>
        <w:t>Confidential data</w:t>
      </w:r>
      <w:r w:rsidR="00290825" w:rsidRPr="00150F99">
        <w:rPr>
          <w:rFonts w:ascii="Times New Roman" w:hAnsi="Times New Roman" w:cs="Times New Roman"/>
          <w:b/>
          <w:bCs/>
        </w:rPr>
        <w:t xml:space="preserve"> statement. </w:t>
      </w:r>
      <w:r w:rsidR="004246BF" w:rsidRPr="00242BD5">
        <w:rPr>
          <w:rFonts w:ascii="Times New Roman" w:hAnsi="Times New Roman" w:cs="Times New Roman"/>
        </w:rPr>
        <w:t>W</w:t>
      </w:r>
      <w:r w:rsidR="00293A53">
        <w:rPr>
          <w:rFonts w:ascii="Times New Roman" w:hAnsi="Times New Roman" w:cs="Times New Roman"/>
        </w:rPr>
        <w:t xml:space="preserve">e do not report </w:t>
      </w:r>
      <w:r w:rsidR="00290825" w:rsidRPr="00150F99">
        <w:rPr>
          <w:rFonts w:ascii="Times New Roman" w:hAnsi="Times New Roman" w:cs="Times New Roman"/>
        </w:rPr>
        <w:t xml:space="preserve">the following 5 variables </w:t>
      </w:r>
      <w:r w:rsidR="00293A53">
        <w:rPr>
          <w:rFonts w:ascii="Times New Roman" w:hAnsi="Times New Roman" w:cs="Times New Roman"/>
        </w:rPr>
        <w:t>since they are</w:t>
      </w:r>
      <w:r w:rsidR="00290825" w:rsidRPr="00150F99">
        <w:rPr>
          <w:rFonts w:ascii="Times New Roman" w:hAnsi="Times New Roman" w:cs="Times New Roman"/>
        </w:rPr>
        <w:t xml:space="preserve"> confidential</w:t>
      </w:r>
      <w:r w:rsidR="00293A53">
        <w:rPr>
          <w:rFonts w:ascii="Times New Roman" w:hAnsi="Times New Roman" w:cs="Times New Roman"/>
        </w:rPr>
        <w:t>:</w:t>
      </w:r>
    </w:p>
    <w:p w14:paraId="702B4C05" w14:textId="77777777" w:rsidR="005023E6" w:rsidRPr="00150F99" w:rsidRDefault="005023E6">
      <w:pPr>
        <w:rPr>
          <w:rFonts w:ascii="Times New Roman" w:hAnsi="Times New Roman" w:cs="Times New Roman"/>
        </w:rPr>
      </w:pPr>
    </w:p>
    <w:p w14:paraId="6A0EF553" w14:textId="77777777" w:rsidR="005023E6" w:rsidRPr="00293A53" w:rsidRDefault="005023E6" w:rsidP="005023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293A53">
        <w:rPr>
          <w:rFonts w:ascii="Times New Roman" w:hAnsi="Times New Roman" w:cs="Times New Roman"/>
          <w:u w:val="single"/>
        </w:rPr>
        <w:t>IAPOC index</w:t>
      </w:r>
    </w:p>
    <w:p w14:paraId="3604BC74" w14:textId="106D01A6" w:rsidR="005023E6" w:rsidRDefault="005023E6" w:rsidP="005023E6">
      <w:pPr>
        <w:pStyle w:val="ListParagraph"/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</w:rPr>
        <w:t xml:space="preserve">For questions on this data, you can contact </w:t>
      </w:r>
      <w:hyperlink r:id="rId7" w:history="1">
        <w:r w:rsidR="00150F99" w:rsidRPr="00B86C2C">
          <w:rPr>
            <w:rStyle w:val="Hyperlink"/>
            <w:rFonts w:ascii="Times New Roman" w:hAnsi="Times New Roman" w:cs="Times New Roman"/>
          </w:rPr>
          <w:t>Filiz.UNSAL@oecd.org</w:t>
        </w:r>
      </w:hyperlink>
      <w:r w:rsidR="00150F99">
        <w:rPr>
          <w:rFonts w:ascii="Times New Roman" w:hAnsi="Times New Roman" w:cs="Times New Roman"/>
        </w:rPr>
        <w:tab/>
      </w:r>
    </w:p>
    <w:p w14:paraId="024FD8B0" w14:textId="77777777" w:rsidR="00293A53" w:rsidRDefault="00293A53" w:rsidP="005023E6">
      <w:pPr>
        <w:pStyle w:val="ListParagraph"/>
        <w:rPr>
          <w:rFonts w:ascii="Times New Roman" w:hAnsi="Times New Roman" w:cs="Times New Roman"/>
        </w:rPr>
      </w:pPr>
    </w:p>
    <w:p w14:paraId="389DCF13" w14:textId="00E27786" w:rsidR="00150F99" w:rsidRPr="00150F99" w:rsidRDefault="00150F99" w:rsidP="00150F99">
      <w:pPr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data is generated in: </w:t>
      </w:r>
      <w:r w:rsidRPr="00150F99">
        <w:rPr>
          <w:rFonts w:ascii="Times New Roman" w:hAnsi="Times New Roman" w:cs="Times New Roman"/>
        </w:rPr>
        <w:t xml:space="preserve">Unsal, D Filiz, Chris </w:t>
      </w:r>
      <w:proofErr w:type="spellStart"/>
      <w:r w:rsidRPr="00150F99">
        <w:rPr>
          <w:rFonts w:ascii="Times New Roman" w:hAnsi="Times New Roman" w:cs="Times New Roman"/>
        </w:rPr>
        <w:t>Papageorgiou</w:t>
      </w:r>
      <w:proofErr w:type="spellEnd"/>
      <w:r w:rsidRPr="00150F99">
        <w:rPr>
          <w:rFonts w:ascii="Times New Roman" w:hAnsi="Times New Roman" w:cs="Times New Roman"/>
        </w:rPr>
        <w:t xml:space="preserve">, and </w:t>
      </w:r>
      <w:proofErr w:type="spellStart"/>
      <w:r w:rsidRPr="00150F99">
        <w:rPr>
          <w:rFonts w:ascii="Times New Roman" w:hAnsi="Times New Roman" w:cs="Times New Roman"/>
        </w:rPr>
        <w:t>Hendre</w:t>
      </w:r>
      <w:proofErr w:type="spellEnd"/>
      <w:r w:rsidRPr="00150F99">
        <w:rPr>
          <w:rFonts w:ascii="Times New Roman" w:hAnsi="Times New Roman" w:cs="Times New Roman"/>
        </w:rPr>
        <w:t xml:space="preserve"> </w:t>
      </w:r>
      <w:proofErr w:type="spellStart"/>
      <w:r w:rsidRPr="00150F99">
        <w:rPr>
          <w:rFonts w:ascii="Times New Roman" w:hAnsi="Times New Roman" w:cs="Times New Roman"/>
        </w:rPr>
        <w:t>Garbers</w:t>
      </w:r>
      <w:proofErr w:type="spellEnd"/>
      <w:r w:rsidRPr="00150F99">
        <w:rPr>
          <w:rFonts w:ascii="Times New Roman" w:hAnsi="Times New Roman" w:cs="Times New Roman"/>
        </w:rPr>
        <w:t xml:space="preserve">, “Monetary policy frameworks: an index and new evidence,” </w:t>
      </w:r>
      <w:proofErr w:type="gramStart"/>
      <w:r w:rsidRPr="00150F99">
        <w:rPr>
          <w:rFonts w:ascii="Times New Roman" w:hAnsi="Times New Roman" w:cs="Times New Roman"/>
        </w:rPr>
        <w:t>2022</w:t>
      </w:r>
      <w:proofErr w:type="gramEnd"/>
    </w:p>
    <w:p w14:paraId="1C45D2F2" w14:textId="77777777" w:rsidR="005023E6" w:rsidRPr="00150F99" w:rsidRDefault="005023E6" w:rsidP="005023E6">
      <w:pPr>
        <w:pStyle w:val="ListParagraph"/>
        <w:rPr>
          <w:rFonts w:ascii="Times New Roman" w:hAnsi="Times New Roman" w:cs="Times New Roman"/>
        </w:rPr>
      </w:pPr>
    </w:p>
    <w:p w14:paraId="751D683C" w14:textId="13409453" w:rsidR="005023E6" w:rsidRPr="00293A53" w:rsidRDefault="005023E6" w:rsidP="005023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293A53">
        <w:rPr>
          <w:rFonts w:ascii="Times New Roman" w:hAnsi="Times New Roman" w:cs="Times New Roman"/>
          <w:u w:val="single"/>
        </w:rPr>
        <w:t xml:space="preserve">FX debt </w:t>
      </w:r>
      <w:r w:rsidR="00150F99" w:rsidRPr="00293A53">
        <w:rPr>
          <w:rFonts w:ascii="Times New Roman" w:hAnsi="Times New Roman" w:cs="Times New Roman"/>
          <w:u w:val="single"/>
        </w:rPr>
        <w:t xml:space="preserve">to total debt of the private sector, from </w:t>
      </w:r>
      <w:r w:rsidRPr="00293A53">
        <w:rPr>
          <w:rFonts w:ascii="Times New Roman" w:hAnsi="Times New Roman" w:cs="Times New Roman"/>
          <w:u w:val="single"/>
        </w:rPr>
        <w:t>BIS</w:t>
      </w:r>
    </w:p>
    <w:p w14:paraId="5F9622DE" w14:textId="77777777" w:rsidR="00472576" w:rsidRDefault="00472576" w:rsidP="00472576">
      <w:pPr>
        <w:pStyle w:val="ListParagraph"/>
        <w:rPr>
          <w:rFonts w:ascii="Times New Roman" w:hAnsi="Times New Roman" w:cs="Times New Roman"/>
        </w:rPr>
      </w:pPr>
    </w:p>
    <w:p w14:paraId="2A6AE0B5" w14:textId="21A7E848" w:rsidR="004246BF" w:rsidRDefault="00150F99" w:rsidP="00472576">
      <w:pPr>
        <w:pStyle w:val="ListParagraph"/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</w:rPr>
        <w:t xml:space="preserve">This data </w:t>
      </w:r>
      <w:r>
        <w:rPr>
          <w:rFonts w:ascii="Times New Roman" w:hAnsi="Times New Roman" w:cs="Times New Roman"/>
        </w:rPr>
        <w:t xml:space="preserve">is </w:t>
      </w:r>
      <w:r w:rsidRPr="00150F99">
        <w:rPr>
          <w:rFonts w:ascii="Times New Roman" w:hAnsi="Times New Roman" w:cs="Times New Roman"/>
        </w:rPr>
        <w:t xml:space="preserve">from the BIS Global </w:t>
      </w:r>
      <w:r w:rsidRPr="00B23E66">
        <w:rPr>
          <w:rFonts w:ascii="Times New Roman" w:hAnsi="Times New Roman" w:cs="Times New Roman"/>
        </w:rPr>
        <w:t>Liquidity Indicators (GLI) database</w:t>
      </w:r>
      <w:r w:rsidR="00350D63" w:rsidRPr="00B23E66">
        <w:rPr>
          <w:rFonts w:ascii="Times New Roman" w:hAnsi="Times New Roman" w:cs="Times New Roman"/>
        </w:rPr>
        <w:t xml:space="preserve"> (</w:t>
      </w:r>
      <w:hyperlink r:id="rId8" w:history="1">
        <w:r w:rsidR="00350D63" w:rsidRPr="00B23E66">
          <w:rPr>
            <w:rStyle w:val="Hyperlink"/>
            <w:rFonts w:ascii="Times New Roman" w:hAnsi="Times New Roman" w:cs="Times New Roman"/>
          </w:rPr>
          <w:t>Global liquidity indicators - data | BIS Data Portal</w:t>
        </w:r>
      </w:hyperlink>
      <w:r w:rsidR="00350D63" w:rsidRPr="00B23E66">
        <w:rPr>
          <w:rFonts w:ascii="Times New Roman" w:hAnsi="Times New Roman" w:cs="Times New Roman"/>
        </w:rPr>
        <w:t>)</w:t>
      </w:r>
      <w:r w:rsidRPr="00B23E66">
        <w:rPr>
          <w:rFonts w:ascii="Times New Roman" w:hAnsi="Times New Roman" w:cs="Times New Roman"/>
        </w:rPr>
        <w:t xml:space="preserve"> </w:t>
      </w:r>
      <w:r w:rsidR="004246BF" w:rsidRPr="00B23E66">
        <w:rPr>
          <w:rFonts w:ascii="Times New Roman" w:hAnsi="Times New Roman" w:cs="Times New Roman"/>
        </w:rPr>
        <w:t>which provides</w:t>
      </w:r>
      <w:r w:rsidR="004246BF" w:rsidRPr="004246BF">
        <w:rPr>
          <w:rFonts w:ascii="Times New Roman" w:hAnsi="Times New Roman" w:cs="Times New Roman"/>
        </w:rPr>
        <w:t xml:space="preserve"> FX debt exposures for both bonds</w:t>
      </w:r>
      <w:r w:rsidR="004246BF">
        <w:rPr>
          <w:rFonts w:ascii="Times New Roman" w:hAnsi="Times New Roman" w:cs="Times New Roman"/>
        </w:rPr>
        <w:t xml:space="preserve"> </w:t>
      </w:r>
      <w:r w:rsidR="004246BF" w:rsidRPr="004246BF">
        <w:rPr>
          <w:rFonts w:ascii="Times New Roman" w:hAnsi="Times New Roman" w:cs="Times New Roman"/>
        </w:rPr>
        <w:t xml:space="preserve">and loans for the non-financial private sector (non-financial </w:t>
      </w:r>
      <w:r w:rsidR="004246BF">
        <w:rPr>
          <w:rFonts w:ascii="Times New Roman" w:hAnsi="Times New Roman" w:cs="Times New Roman"/>
        </w:rPr>
        <w:t>c</w:t>
      </w:r>
      <w:r w:rsidR="004246BF" w:rsidRPr="004246BF">
        <w:rPr>
          <w:rFonts w:ascii="Times New Roman" w:hAnsi="Times New Roman" w:cs="Times New Roman"/>
        </w:rPr>
        <w:t>orporations and households),</w:t>
      </w:r>
      <w:r w:rsidR="004246BF">
        <w:rPr>
          <w:rFonts w:ascii="Times New Roman" w:hAnsi="Times New Roman" w:cs="Times New Roman"/>
        </w:rPr>
        <w:t xml:space="preserve"> </w:t>
      </w:r>
      <w:r w:rsidR="004246BF" w:rsidRPr="004246BF">
        <w:rPr>
          <w:rFonts w:ascii="Times New Roman" w:hAnsi="Times New Roman" w:cs="Times New Roman"/>
        </w:rPr>
        <w:t>and for governments separately. FX bonds are defined as debt securities issued in the U.S.</w:t>
      </w:r>
      <w:r w:rsidR="004246BF">
        <w:rPr>
          <w:rFonts w:ascii="Times New Roman" w:hAnsi="Times New Roman" w:cs="Times New Roman"/>
        </w:rPr>
        <w:t xml:space="preserve"> </w:t>
      </w:r>
      <w:r w:rsidR="004246BF" w:rsidRPr="004246BF">
        <w:rPr>
          <w:rFonts w:ascii="Times New Roman" w:hAnsi="Times New Roman" w:cs="Times New Roman"/>
        </w:rPr>
        <w:t>dollar, euro and Japanese yen and issued in international markets by the residents in the</w:t>
      </w:r>
      <w:r w:rsidR="004246BF">
        <w:rPr>
          <w:rFonts w:ascii="Times New Roman" w:hAnsi="Times New Roman" w:cs="Times New Roman"/>
        </w:rPr>
        <w:t xml:space="preserve"> </w:t>
      </w:r>
      <w:r w:rsidR="004246BF" w:rsidRPr="004246BF">
        <w:rPr>
          <w:rFonts w:ascii="Times New Roman" w:hAnsi="Times New Roman" w:cs="Times New Roman"/>
        </w:rPr>
        <w:t>non-financial sector of a given economy. FX loans are defined as bank loans extended to the</w:t>
      </w:r>
      <w:r w:rsidR="004246BF">
        <w:rPr>
          <w:rFonts w:ascii="Times New Roman" w:hAnsi="Times New Roman" w:cs="Times New Roman"/>
        </w:rPr>
        <w:t xml:space="preserve"> </w:t>
      </w:r>
      <w:r w:rsidR="004246BF" w:rsidRPr="004246BF">
        <w:rPr>
          <w:rFonts w:ascii="Times New Roman" w:hAnsi="Times New Roman" w:cs="Times New Roman"/>
        </w:rPr>
        <w:t xml:space="preserve">non-bank sector of a given economy both by domestic banks and international banks located outside the economy and denominated in the U.S. dollar, </w:t>
      </w:r>
      <w:proofErr w:type="gramStart"/>
      <w:r w:rsidR="004246BF" w:rsidRPr="004246BF">
        <w:rPr>
          <w:rFonts w:ascii="Times New Roman" w:hAnsi="Times New Roman" w:cs="Times New Roman"/>
        </w:rPr>
        <w:t>euro</w:t>
      </w:r>
      <w:proofErr w:type="gramEnd"/>
      <w:r w:rsidR="004246BF" w:rsidRPr="004246BF">
        <w:rPr>
          <w:rFonts w:ascii="Times New Roman" w:hAnsi="Times New Roman" w:cs="Times New Roman"/>
        </w:rPr>
        <w:t xml:space="preserve"> and Japanese yen.</w:t>
      </w:r>
    </w:p>
    <w:p w14:paraId="19264FDC" w14:textId="77777777" w:rsidR="00472576" w:rsidRPr="004246BF" w:rsidRDefault="00472576" w:rsidP="00472576">
      <w:pPr>
        <w:pStyle w:val="ListParagraph"/>
        <w:rPr>
          <w:rFonts w:ascii="Times New Roman" w:hAnsi="Times New Roman" w:cs="Times New Roman"/>
        </w:rPr>
      </w:pPr>
    </w:p>
    <w:p w14:paraId="301090F6" w14:textId="5CBB4B62" w:rsidR="00150F99" w:rsidRPr="00150F99" w:rsidRDefault="004246BF" w:rsidP="00150F99">
      <w:pPr>
        <w:autoSpaceDE w:val="0"/>
        <w:autoSpaceDN w:val="0"/>
        <w:adjustRightInd w:val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data is constructed </w:t>
      </w:r>
      <w:r w:rsidR="00472576">
        <w:rPr>
          <w:rFonts w:ascii="Times New Roman" w:hAnsi="Times New Roman" w:cs="Times New Roman"/>
        </w:rPr>
        <w:t>following the construction i</w:t>
      </w:r>
      <w:r w:rsidR="00150F99">
        <w:rPr>
          <w:rFonts w:ascii="Times New Roman" w:hAnsi="Times New Roman" w:cs="Times New Roman"/>
        </w:rPr>
        <w:t xml:space="preserve">n </w:t>
      </w:r>
      <w:r w:rsidR="00150F99" w:rsidRPr="00150F99">
        <w:rPr>
          <w:rFonts w:ascii="Times New Roman" w:hAnsi="Times New Roman" w:cs="Times New Roman"/>
        </w:rPr>
        <w:t xml:space="preserve">the following two papers: </w:t>
      </w:r>
    </w:p>
    <w:p w14:paraId="5B0F6E79" w14:textId="0C432F30" w:rsidR="00150F99" w:rsidRPr="00150F99" w:rsidRDefault="00150F99" w:rsidP="00150F9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  <w:kern w:val="0"/>
        </w:rPr>
        <w:t xml:space="preserve">Fan, </w:t>
      </w:r>
      <w:proofErr w:type="spellStart"/>
      <w:r w:rsidRPr="00150F99">
        <w:rPr>
          <w:rFonts w:ascii="Times New Roman" w:hAnsi="Times New Roman" w:cs="Times New Roman"/>
          <w:kern w:val="0"/>
        </w:rPr>
        <w:t>Jingting</w:t>
      </w:r>
      <w:proofErr w:type="spellEnd"/>
      <w:r w:rsidRPr="00150F99">
        <w:rPr>
          <w:rFonts w:ascii="Times New Roman" w:hAnsi="Times New Roman" w:cs="Times New Roman"/>
          <w:kern w:val="0"/>
        </w:rPr>
        <w:t xml:space="preserve"> and </w:t>
      </w:r>
      <w:proofErr w:type="spellStart"/>
      <w:r w:rsidRPr="00150F99">
        <w:rPr>
          <w:rFonts w:ascii="Times New Roman" w:hAnsi="Times New Roman" w:cs="Times New Roman"/>
          <w:kern w:val="0"/>
        </w:rPr>
        <w:t>Sebnem</w:t>
      </w:r>
      <w:proofErr w:type="spellEnd"/>
      <w:r w:rsidRPr="00150F99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150F99">
        <w:rPr>
          <w:rFonts w:ascii="Times New Roman" w:hAnsi="Times New Roman" w:cs="Times New Roman"/>
          <w:kern w:val="0"/>
        </w:rPr>
        <w:t>Kalemli-Ozcan</w:t>
      </w:r>
      <w:proofErr w:type="spellEnd"/>
      <w:r w:rsidRPr="00150F99">
        <w:rPr>
          <w:rFonts w:ascii="Times New Roman" w:hAnsi="Times New Roman" w:cs="Times New Roman"/>
          <w:kern w:val="0"/>
        </w:rPr>
        <w:t>, “Emergence of Asia: reforms, corporate savings, and global imbalances,” IMF Economic Review, 2016, 64 (2), 239–267.</w:t>
      </w:r>
    </w:p>
    <w:p w14:paraId="17F9D458" w14:textId="522E85DC" w:rsidR="00150F99" w:rsidRPr="00150F99" w:rsidRDefault="00150F99" w:rsidP="00150F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kern w:val="0"/>
        </w:rPr>
      </w:pPr>
      <w:r w:rsidRPr="00150F99">
        <w:rPr>
          <w:rFonts w:ascii="Times New Roman" w:hAnsi="Times New Roman" w:cs="Times New Roman"/>
          <w:kern w:val="0"/>
        </w:rPr>
        <w:t>Sebnem Kalemli-Ozcan, Xiaoxi Liu, and Ilhyock Shim, “Exchange rate fluctuations and firm leverage,” IMF Economic Review, 2021, 69, 90–121.</w:t>
      </w:r>
    </w:p>
    <w:p w14:paraId="21A0A830" w14:textId="77777777" w:rsidR="00150F99" w:rsidRPr="00150F99" w:rsidRDefault="00150F99" w:rsidP="00150F99">
      <w:pPr>
        <w:pStyle w:val="ListParagraph"/>
        <w:rPr>
          <w:rFonts w:ascii="Times New Roman" w:hAnsi="Times New Roman" w:cs="Times New Roman"/>
          <w:i/>
          <w:iCs/>
          <w:kern w:val="0"/>
        </w:rPr>
      </w:pPr>
    </w:p>
    <w:p w14:paraId="453BF050" w14:textId="47CF5B1F" w:rsidR="005023E6" w:rsidRPr="00293A53" w:rsidRDefault="001B55B0" w:rsidP="005023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293A53">
        <w:rPr>
          <w:rFonts w:ascii="Times New Roman" w:hAnsi="Times New Roman" w:cs="Times New Roman"/>
          <w:u w:val="single"/>
        </w:rPr>
        <w:t>E</w:t>
      </w:r>
      <w:r w:rsidR="005023E6" w:rsidRPr="00293A53">
        <w:rPr>
          <w:rFonts w:ascii="Times New Roman" w:hAnsi="Times New Roman" w:cs="Times New Roman"/>
          <w:u w:val="single"/>
        </w:rPr>
        <w:t>xchange rate expectations data to build UIP deviations</w:t>
      </w:r>
      <w:r w:rsidRPr="00293A53">
        <w:rPr>
          <w:rFonts w:ascii="Times New Roman" w:hAnsi="Times New Roman" w:cs="Times New Roman"/>
          <w:u w:val="single"/>
        </w:rPr>
        <w:t xml:space="preserve">, from Consensus </w:t>
      </w:r>
      <w:proofErr w:type="gramStart"/>
      <w:r w:rsidRPr="00293A53">
        <w:rPr>
          <w:rFonts w:ascii="Times New Roman" w:hAnsi="Times New Roman" w:cs="Times New Roman"/>
          <w:u w:val="single"/>
        </w:rPr>
        <w:t>forecast</w:t>
      </w:r>
      <w:proofErr w:type="gramEnd"/>
    </w:p>
    <w:p w14:paraId="7A8EE8C8" w14:textId="51186400" w:rsidR="005023E6" w:rsidRPr="00150F99" w:rsidRDefault="005023E6" w:rsidP="005023E6">
      <w:pPr>
        <w:pStyle w:val="ListParagraph"/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</w:rPr>
        <w:t>To access this data, you need a subscription to Consensus forecast, and download the 12 month ahead exchange rate expectations</w:t>
      </w:r>
      <w:r w:rsidR="001B55B0" w:rsidRPr="00150F99">
        <w:rPr>
          <w:rFonts w:ascii="Times New Roman" w:hAnsi="Times New Roman" w:cs="Times New Roman"/>
        </w:rPr>
        <w:t xml:space="preserve"> </w:t>
      </w:r>
      <w:r w:rsidR="00472576">
        <w:rPr>
          <w:rFonts w:ascii="Times New Roman" w:hAnsi="Times New Roman" w:cs="Times New Roman"/>
        </w:rPr>
        <w:t>of each country vis-a-</w:t>
      </w:r>
      <w:proofErr w:type="gramStart"/>
      <w:r w:rsidR="00472576">
        <w:rPr>
          <w:rFonts w:ascii="Times New Roman" w:hAnsi="Times New Roman" w:cs="Times New Roman"/>
        </w:rPr>
        <w:t xml:space="preserve">vis </w:t>
      </w:r>
      <w:r w:rsidR="001B55B0" w:rsidRPr="00150F99">
        <w:rPr>
          <w:rFonts w:ascii="Times New Roman" w:hAnsi="Times New Roman" w:cs="Times New Roman"/>
        </w:rPr>
        <w:t xml:space="preserve"> the</w:t>
      </w:r>
      <w:proofErr w:type="gramEnd"/>
      <w:r w:rsidR="001B55B0" w:rsidRPr="00150F99">
        <w:rPr>
          <w:rFonts w:ascii="Times New Roman" w:hAnsi="Times New Roman" w:cs="Times New Roman"/>
        </w:rPr>
        <w:t xml:space="preserve"> US dollar.</w:t>
      </w:r>
    </w:p>
    <w:p w14:paraId="415F2804" w14:textId="77777777" w:rsidR="005023E6" w:rsidRPr="00150F99" w:rsidRDefault="005023E6" w:rsidP="005023E6">
      <w:pPr>
        <w:pStyle w:val="ListParagraph"/>
        <w:rPr>
          <w:rFonts w:ascii="Times New Roman" w:hAnsi="Times New Roman" w:cs="Times New Roman"/>
        </w:rPr>
      </w:pPr>
    </w:p>
    <w:p w14:paraId="11EB971B" w14:textId="4BB5FCBB" w:rsidR="001B2B65" w:rsidRPr="00293A53" w:rsidRDefault="001B55B0" w:rsidP="005023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293A53">
        <w:rPr>
          <w:rFonts w:ascii="Times New Roman" w:hAnsi="Times New Roman" w:cs="Times New Roman"/>
          <w:u w:val="single"/>
        </w:rPr>
        <w:t xml:space="preserve">Government bond rates </w:t>
      </w:r>
      <w:r w:rsidR="005023E6" w:rsidRPr="00293A53">
        <w:rPr>
          <w:rFonts w:ascii="Times New Roman" w:hAnsi="Times New Roman" w:cs="Times New Roman"/>
          <w:u w:val="single"/>
        </w:rPr>
        <w:t>to build UIP deviations</w:t>
      </w:r>
      <w:r w:rsidR="00290825" w:rsidRPr="00293A53">
        <w:rPr>
          <w:rFonts w:ascii="Times New Roman" w:hAnsi="Times New Roman" w:cs="Times New Roman"/>
          <w:u w:val="single"/>
        </w:rPr>
        <w:t xml:space="preserve"> and CDS spreads</w:t>
      </w:r>
      <w:r w:rsidRPr="00293A53">
        <w:rPr>
          <w:rFonts w:ascii="Times New Roman" w:hAnsi="Times New Roman" w:cs="Times New Roman"/>
          <w:u w:val="single"/>
        </w:rPr>
        <w:t xml:space="preserve">, from Bloomberg </w:t>
      </w:r>
      <w:proofErr w:type="gramStart"/>
      <w:r w:rsidRPr="00293A53">
        <w:rPr>
          <w:rFonts w:ascii="Times New Roman" w:hAnsi="Times New Roman" w:cs="Times New Roman"/>
          <w:u w:val="single"/>
        </w:rPr>
        <w:t>data</w:t>
      </w:r>
      <w:proofErr w:type="gramEnd"/>
    </w:p>
    <w:p w14:paraId="2CE95F22" w14:textId="24865A8F" w:rsidR="005023E6" w:rsidRPr="00150F99" w:rsidRDefault="005023E6" w:rsidP="005023E6">
      <w:pPr>
        <w:pStyle w:val="ListParagraph"/>
        <w:rPr>
          <w:rFonts w:ascii="Times New Roman" w:hAnsi="Times New Roman" w:cs="Times New Roman"/>
        </w:rPr>
      </w:pPr>
      <w:r w:rsidRPr="00150F99">
        <w:rPr>
          <w:rFonts w:ascii="Times New Roman" w:hAnsi="Times New Roman" w:cs="Times New Roman"/>
        </w:rPr>
        <w:t xml:space="preserve">To access this data, you need a subscription to Bloomberg, and download the </w:t>
      </w:r>
      <w:r w:rsidR="00B23E66" w:rsidRPr="00150F99">
        <w:rPr>
          <w:rFonts w:ascii="Times New Roman" w:hAnsi="Times New Roman" w:cs="Times New Roman"/>
        </w:rPr>
        <w:t>12-month</w:t>
      </w:r>
      <w:r w:rsidRPr="00150F99">
        <w:rPr>
          <w:rFonts w:ascii="Times New Roman" w:hAnsi="Times New Roman" w:cs="Times New Roman"/>
        </w:rPr>
        <w:t xml:space="preserve"> government bond rates</w:t>
      </w:r>
      <w:r w:rsidR="00290825" w:rsidRPr="00150F99">
        <w:rPr>
          <w:rFonts w:ascii="Times New Roman" w:hAnsi="Times New Roman" w:cs="Times New Roman"/>
        </w:rPr>
        <w:t xml:space="preserve"> and the USD CDS spreads</w:t>
      </w:r>
      <w:r w:rsidR="001B55B0" w:rsidRPr="00150F99">
        <w:rPr>
          <w:rFonts w:ascii="Times New Roman" w:hAnsi="Times New Roman" w:cs="Times New Roman"/>
        </w:rPr>
        <w:t>.</w:t>
      </w:r>
    </w:p>
    <w:sectPr w:rsidR="005023E6" w:rsidRPr="00150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CCE07" w14:textId="77777777" w:rsidR="00B4762B" w:rsidRDefault="00B4762B" w:rsidP="00350D63">
      <w:r>
        <w:separator/>
      </w:r>
    </w:p>
  </w:endnote>
  <w:endnote w:type="continuationSeparator" w:id="0">
    <w:p w14:paraId="22AC9849" w14:textId="77777777" w:rsidR="00B4762B" w:rsidRDefault="00B4762B" w:rsidP="0035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DE3F1" w14:textId="77777777" w:rsidR="00B4762B" w:rsidRDefault="00B4762B" w:rsidP="00350D63">
      <w:r>
        <w:separator/>
      </w:r>
    </w:p>
  </w:footnote>
  <w:footnote w:type="continuationSeparator" w:id="0">
    <w:p w14:paraId="5016E624" w14:textId="77777777" w:rsidR="00B4762B" w:rsidRDefault="00B4762B" w:rsidP="00350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C05BC"/>
    <w:multiLevelType w:val="hybridMultilevel"/>
    <w:tmpl w:val="BEF2D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D3B12"/>
    <w:multiLevelType w:val="hybridMultilevel"/>
    <w:tmpl w:val="1F766C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01104390">
    <w:abstractNumId w:val="0"/>
  </w:num>
  <w:num w:numId="2" w16cid:durableId="264114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ECDDocumentId" w:val="F7C1D7A24DA51FE04DD5D074AF3A2C6A36A36895A9D727EA97D3646D9A8B9B1B"/>
  </w:docVars>
  <w:rsids>
    <w:rsidRoot w:val="005023E6"/>
    <w:rsid w:val="000B726A"/>
    <w:rsid w:val="00150F99"/>
    <w:rsid w:val="001B2B65"/>
    <w:rsid w:val="001B55B0"/>
    <w:rsid w:val="00242BD5"/>
    <w:rsid w:val="00290825"/>
    <w:rsid w:val="00293A53"/>
    <w:rsid w:val="00350D63"/>
    <w:rsid w:val="003542C0"/>
    <w:rsid w:val="004246BF"/>
    <w:rsid w:val="004257AD"/>
    <w:rsid w:val="00472576"/>
    <w:rsid w:val="004E5128"/>
    <w:rsid w:val="005023E6"/>
    <w:rsid w:val="00551EB6"/>
    <w:rsid w:val="00B21803"/>
    <w:rsid w:val="00B23E66"/>
    <w:rsid w:val="00B4762B"/>
    <w:rsid w:val="00C22FF3"/>
    <w:rsid w:val="00D4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556F7"/>
  <w15:chartTrackingRefBased/>
  <w15:docId w15:val="{AB70E9CE-8F5E-7942-8878-AFF1F4B2C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6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3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0F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F9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E51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50D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D63"/>
  </w:style>
  <w:style w:type="paragraph" w:styleId="Footer">
    <w:name w:val="footer"/>
    <w:basedOn w:val="Normal"/>
    <w:link w:val="FooterChar"/>
    <w:uiPriority w:val="99"/>
    <w:unhideWhenUsed/>
    <w:rsid w:val="00350D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bis.org/topics/GLI/dat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liz.UNSAL@oec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Sans</dc:creator>
  <cp:keywords/>
  <dc:description/>
  <cp:lastModifiedBy>Mariana Sans</cp:lastModifiedBy>
  <cp:revision>3</cp:revision>
  <dcterms:created xsi:type="dcterms:W3CDTF">2023-11-13T21:37:00Z</dcterms:created>
  <dcterms:modified xsi:type="dcterms:W3CDTF">2023-11-13T21:42:00Z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DocumentId">
    <vt:lpwstr>F7C1D7A24DA51FE04DD5D074AF3A2C6A36A36895A9D727EA97D3646D9A8B9B1B</vt:lpwstr>
  </property>
  <property fmtid="{D5CDD505-2E9C-101B-9397-08002B2CF9AE}" pid="3" name="OecdDocumentCoteLangHash">
    <vt:lpwstr/>
  </property>
</Properties>
</file>