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6AAE2D" w14:textId="7C8CDC82" w:rsidR="008E6C19" w:rsidRPr="00DE1D6F" w:rsidRDefault="00120581">
      <w:pPr>
        <w:rPr>
          <w:b/>
          <w:sz w:val="28"/>
          <w:szCs w:val="28"/>
        </w:rPr>
      </w:pPr>
      <w:r w:rsidRPr="00DE1D6F">
        <w:rPr>
          <w:b/>
          <w:sz w:val="28"/>
          <w:szCs w:val="28"/>
        </w:rPr>
        <w:t>Key to figures and tables</w:t>
      </w:r>
    </w:p>
    <w:p w14:paraId="3264F8D6" w14:textId="77777777" w:rsidR="00120581" w:rsidRDefault="00120581"/>
    <w:p w14:paraId="48312E42" w14:textId="48C0031B" w:rsidR="00120581" w:rsidRDefault="00120581">
      <w:r w:rsidRPr="00120581">
        <w:rPr>
          <w:b/>
          <w:bCs/>
        </w:rPr>
        <w:t>Figure 1</w:t>
      </w:r>
      <w:r>
        <w:t>: Source is authors</w:t>
      </w:r>
      <w:r w:rsidR="003C5F03">
        <w:t>’</w:t>
      </w:r>
      <w:r>
        <w:t xml:space="preserve"> calculations. The underlying data on deaths come from the </w:t>
      </w:r>
      <w:r w:rsidR="008B19DE">
        <w:t>National Vital Statistics System (</w:t>
      </w:r>
      <w:r>
        <w:t>NVSS</w:t>
      </w:r>
      <w:r w:rsidR="008B19DE">
        <w:t>)</w:t>
      </w:r>
      <w:r>
        <w:t xml:space="preserve">, with death certificates downloaded from </w:t>
      </w:r>
      <w:r w:rsidR="008B19DE">
        <w:t>the Vital Statistics Online Data Portal</w:t>
      </w:r>
      <w:r>
        <w:t xml:space="preserve">. The population data to compute death rates come from the </w:t>
      </w:r>
      <w:r w:rsidR="008B19DE">
        <w:t xml:space="preserve">U.S. Census Bureau, with educational attainment data from the </w:t>
      </w:r>
      <w:r>
        <w:t xml:space="preserve">Current Population Survey up to 2000, and the American Community Survey thereafter. The calculations for e_25 for both sexes together and for those with and without a BA are done in the program </w:t>
      </w:r>
      <w:r w:rsidRPr="004209D7">
        <w:rPr>
          <w:b/>
        </w:rPr>
        <w:t>master_le.do</w:t>
      </w:r>
      <w:r>
        <w:t xml:space="preserve"> and are stored in output data set le25_0.dta</w:t>
      </w:r>
      <w:r w:rsidR="00BF166D">
        <w:t>.</w:t>
      </w:r>
    </w:p>
    <w:p w14:paraId="1F793E4E" w14:textId="77777777" w:rsidR="00120581" w:rsidRDefault="00120581"/>
    <w:p w14:paraId="0F1BA66F" w14:textId="10B058F0" w:rsidR="00120581" w:rsidRDefault="00120581">
      <w:r w:rsidRPr="00120581">
        <w:rPr>
          <w:b/>
          <w:bCs/>
        </w:rPr>
        <w:t>Figure 2</w:t>
      </w:r>
      <w:r>
        <w:t xml:space="preserve">: comes from Human Mortality Database at </w:t>
      </w:r>
      <w:hyperlink r:id="rId4" w:history="1">
        <w:r w:rsidRPr="008D2A1C">
          <w:rPr>
            <w:rStyle w:val="Hyperlink"/>
          </w:rPr>
          <w:t>https://www.mortality.org/</w:t>
        </w:r>
      </w:hyperlink>
      <w:r>
        <w:t xml:space="preserve"> No processing is necessary; li</w:t>
      </w:r>
      <w:r w:rsidR="008B19DE">
        <w:t>f</w:t>
      </w:r>
      <w:r>
        <w:t>e expectancy at birth comes from their life tables.</w:t>
      </w:r>
    </w:p>
    <w:p w14:paraId="5CE93F9F" w14:textId="77777777" w:rsidR="00120581" w:rsidRDefault="00120581"/>
    <w:p w14:paraId="100F5E07" w14:textId="2E70EBE6" w:rsidR="00120581" w:rsidRDefault="00120581">
      <w:r w:rsidRPr="00120581">
        <w:rPr>
          <w:b/>
          <w:bCs/>
        </w:rPr>
        <w:t>Figure 3</w:t>
      </w:r>
      <w:r>
        <w:rPr>
          <w:b/>
          <w:bCs/>
        </w:rPr>
        <w:t xml:space="preserve">: </w:t>
      </w:r>
      <w:r>
        <w:t>is a superimposition of the data in Figure 1 for the US on the data for life expectancy at 25 contained in the Human Mortality Database. (Note this is different from life expectancy at birth in Figure 2.</w:t>
      </w:r>
      <w:r w:rsidR="00136B7E">
        <w:t>)</w:t>
      </w:r>
    </w:p>
    <w:p w14:paraId="0817C8F8" w14:textId="77777777" w:rsidR="00120581" w:rsidRDefault="00120581"/>
    <w:p w14:paraId="02681A7A" w14:textId="73EC539F" w:rsidR="00120581" w:rsidRDefault="00BF166D">
      <w:r w:rsidRPr="00BF166D">
        <w:rPr>
          <w:b/>
          <w:bCs/>
        </w:rPr>
        <w:t>Figure 4</w:t>
      </w:r>
      <w:r>
        <w:rPr>
          <w:b/>
          <w:bCs/>
        </w:rPr>
        <w:t xml:space="preserve">: </w:t>
      </w:r>
      <w:r>
        <w:t>Source is authors</w:t>
      </w:r>
      <w:r w:rsidR="003C5F03">
        <w:t>’</w:t>
      </w:r>
      <w:r>
        <w:t xml:space="preserve"> calculation. Same underlying data as in Figure 1. The calculations are also carried out in master_le.do, and are the</w:t>
      </w:r>
      <w:bookmarkStart w:id="0" w:name="_GoBack"/>
      <w:bookmarkEnd w:id="0"/>
      <w:r>
        <w:t xml:space="preserve"> e25_60 by sex and by year, and are held in the three data sets le25_0.dta, for the unadjusted life expectancy data, le_25_1.dta for the data excluding COVID, in le_25_2.dta for data with the sum of poisonings, suicide, and alcoholic liver disease set at their 1992 level, (deaths of despair), and in le25_12 for life expectancy with both adjustments.</w:t>
      </w:r>
    </w:p>
    <w:p w14:paraId="1D0D1BF3" w14:textId="77777777" w:rsidR="00BF166D" w:rsidRDefault="00BF166D"/>
    <w:p w14:paraId="24738FB2" w14:textId="72474E3A" w:rsidR="003C5F03" w:rsidRDefault="003C5F03">
      <w:r w:rsidRPr="003C5F03">
        <w:rPr>
          <w:b/>
          <w:bCs/>
        </w:rPr>
        <w:t>Figure 5</w:t>
      </w:r>
      <w:r>
        <w:t>: Source is authors’ calculations. Same underlying data as in Figure 1. Calculations are also carried out in master_le.do and use the e25_60 numbers, taking the difference between e25_60 for those with (ED==3) and without (ED==1) a BA. The actual numbers use e25_60 data in le25_0.dta, those with deaths of despair held at 1992 rates are in le25_2.dta, those with deaths of despair and CVD held at 1992 rates are in le25_24.dta, those with deaths of despair, CVD, and cancer deaths held at 1992 rates are in le25_234.dta.</w:t>
      </w:r>
    </w:p>
    <w:p w14:paraId="3B60A1F2" w14:textId="77777777" w:rsidR="003C5F03" w:rsidRDefault="003C5F03"/>
    <w:p w14:paraId="5CD3BB39" w14:textId="0AA6DAD1" w:rsidR="003C5F03" w:rsidRDefault="003C5F03">
      <w:r w:rsidRPr="003C5F03">
        <w:rPr>
          <w:b/>
          <w:bCs/>
        </w:rPr>
        <w:t>Table 1</w:t>
      </w:r>
      <w:r>
        <w:rPr>
          <w:b/>
          <w:bCs/>
        </w:rPr>
        <w:t xml:space="preserve">: </w:t>
      </w:r>
      <w:r>
        <w:t xml:space="preserve">Source is authors’ calculations. </w:t>
      </w:r>
      <w:r w:rsidR="004209D7">
        <w:t xml:space="preserve">The program </w:t>
      </w:r>
      <w:r w:rsidR="004209D7" w:rsidRPr="005C2938">
        <w:rPr>
          <w:b/>
        </w:rPr>
        <w:t>Make_Table1.do</w:t>
      </w:r>
      <w:r w:rsidR="004209D7">
        <w:t xml:space="preserve"> </w:t>
      </w:r>
      <w:r w:rsidR="005C2938">
        <w:t xml:space="preserve">creates Table 1. It </w:t>
      </w:r>
      <w:r w:rsidR="004209D7">
        <w:t>calls data from Table1.dta.</w:t>
      </w:r>
      <w:r w:rsidR="00833204">
        <w:t xml:space="preserve"> The do-file has been annotated to explain calculations for Table 1.</w:t>
      </w:r>
    </w:p>
    <w:p w14:paraId="17F22A87" w14:textId="77777777" w:rsidR="005C2938" w:rsidRDefault="005C2938"/>
    <w:p w14:paraId="323FCC78" w14:textId="11C80DD5" w:rsidR="00FA4423" w:rsidRDefault="005C2938" w:rsidP="005C2938">
      <w:pPr>
        <w:ind w:left="720" w:right="720"/>
      </w:pPr>
      <w:r w:rsidRPr="005C2938">
        <w:rPr>
          <w:b/>
        </w:rPr>
        <w:t xml:space="preserve">Table 1.dta </w:t>
      </w:r>
      <w:r w:rsidR="007B48BB" w:rsidRPr="00045A85">
        <w:t>T</w:t>
      </w:r>
      <w:r w:rsidRPr="00045A85">
        <w:t>h</w:t>
      </w:r>
      <w:r>
        <w:t xml:space="preserve">e </w:t>
      </w:r>
      <w:r>
        <w:t>underlying data on deaths</w:t>
      </w:r>
      <w:r>
        <w:t xml:space="preserve"> in Table1.dta </w:t>
      </w:r>
      <w:r>
        <w:t>come from the National Vital Statistics System (NVSS), with death certificates downloaded from the Vital Statistics Online Data Portal. The population data to compute death rates come from the U.S. Census Bureau, with educational attainment data from the Current Population Survey up to 2000, and the American Community Survey thereafter.</w:t>
      </w:r>
      <w:r>
        <w:t xml:space="preserve"> Table1.dta contain mortality rates for men and women ages 25-84, age-adjusted using the 2000 population by single year of age. Each observation is a (year, sex, education group) cell</w:t>
      </w:r>
      <w:r w:rsidR="00833204">
        <w:t xml:space="preserve"> from 1992-2021</w:t>
      </w:r>
      <w:r>
        <w:t xml:space="preserve">. The cause of death ICD-9 and ICD-10 codes are listed at the bottom of Table 1. </w:t>
      </w:r>
      <w:r w:rsidR="00833204">
        <w:t xml:space="preserve">These data are also used, below, for Figures 6, 7, and 8. </w:t>
      </w:r>
    </w:p>
    <w:p w14:paraId="4C504D55" w14:textId="77777777" w:rsidR="003C5F03" w:rsidRDefault="003C5F03"/>
    <w:p w14:paraId="7EA6BF7C" w14:textId="3C46BE89" w:rsidR="00833204" w:rsidRDefault="003C5F03" w:rsidP="00833204">
      <w:r>
        <w:rPr>
          <w:b/>
          <w:bCs/>
        </w:rPr>
        <w:t>Table 2:</w:t>
      </w:r>
      <w:r>
        <w:t xml:space="preserve"> </w:t>
      </w:r>
      <w:r w:rsidR="00833204">
        <w:t xml:space="preserve">Source is authors’ calculations. The program </w:t>
      </w:r>
      <w:r w:rsidR="00833204" w:rsidRPr="005C2938">
        <w:rPr>
          <w:b/>
        </w:rPr>
        <w:t>Make_Table</w:t>
      </w:r>
      <w:r w:rsidR="00833204">
        <w:rPr>
          <w:b/>
        </w:rPr>
        <w:t>2</w:t>
      </w:r>
      <w:r w:rsidR="00833204" w:rsidRPr="005C2938">
        <w:rPr>
          <w:b/>
        </w:rPr>
        <w:t>.do</w:t>
      </w:r>
      <w:r w:rsidR="00833204">
        <w:t xml:space="preserve"> creates Table </w:t>
      </w:r>
      <w:r w:rsidR="00833204">
        <w:t>2</w:t>
      </w:r>
      <w:r w:rsidR="00833204">
        <w:t>. It calls data from Table</w:t>
      </w:r>
      <w:r w:rsidR="00833204">
        <w:t>2</w:t>
      </w:r>
      <w:r w:rsidR="00833204">
        <w:t>.dta. The do</w:t>
      </w:r>
      <w:r w:rsidR="00833204">
        <w:t>-</w:t>
      </w:r>
      <w:r w:rsidR="00833204">
        <w:t xml:space="preserve">file has been annotated to explain calculations for Table </w:t>
      </w:r>
      <w:r w:rsidR="00833204">
        <w:t>2</w:t>
      </w:r>
      <w:r w:rsidR="00833204">
        <w:t>.</w:t>
      </w:r>
    </w:p>
    <w:p w14:paraId="0108515C" w14:textId="77777777" w:rsidR="00833204" w:rsidRDefault="00833204" w:rsidP="00833204"/>
    <w:p w14:paraId="2A7A98DA" w14:textId="3C6A001A" w:rsidR="00833204" w:rsidRDefault="00833204" w:rsidP="00833204">
      <w:pPr>
        <w:ind w:left="720" w:right="720"/>
      </w:pPr>
      <w:r w:rsidRPr="005C2938">
        <w:rPr>
          <w:b/>
        </w:rPr>
        <w:lastRenderedPageBreak/>
        <w:t xml:space="preserve">Table </w:t>
      </w:r>
      <w:r>
        <w:rPr>
          <w:b/>
        </w:rPr>
        <w:t>2</w:t>
      </w:r>
      <w:r w:rsidRPr="005C2938">
        <w:rPr>
          <w:b/>
        </w:rPr>
        <w:t xml:space="preserve">.dta </w:t>
      </w:r>
      <w:r>
        <w:t xml:space="preserve">As </w:t>
      </w:r>
      <w:r>
        <w:t>above,</w:t>
      </w:r>
      <w:r>
        <w:t xml:space="preserve"> the underlying data on deaths in Table</w:t>
      </w:r>
      <w:r>
        <w:t>2</w:t>
      </w:r>
      <w:r>
        <w:t>.dta come from the National Vital Statistics System (NVSS), with death certificates downloaded from the Vital Statistics Online Data Portal. The population data to compute death rates come from the U.S. Census Bureau, with educational attainment data from the Current Population Survey up to 2000, and the American Community Survey thereafter. Table</w:t>
      </w:r>
      <w:r>
        <w:t>2</w:t>
      </w:r>
      <w:r>
        <w:t xml:space="preserve">.dta contain </w:t>
      </w:r>
      <w:r>
        <w:t xml:space="preserve">the 25-84 </w:t>
      </w:r>
      <w:proofErr w:type="spellStart"/>
      <w:r>
        <w:t>yr</w:t>
      </w:r>
      <w:proofErr w:type="spellEnd"/>
      <w:r>
        <w:t xml:space="preserve"> </w:t>
      </w:r>
      <w:r>
        <w:t xml:space="preserve">mortality rates </w:t>
      </w:r>
      <w:r>
        <w:t xml:space="preserve">for </w:t>
      </w:r>
      <w:r>
        <w:t xml:space="preserve">men and women </w:t>
      </w:r>
      <w:r>
        <w:t xml:space="preserve">together, </w:t>
      </w:r>
      <w:r>
        <w:t>age-adjusted using the 2000 population by single year of age. Each observation is a (</w:t>
      </w:r>
      <w:proofErr w:type="gramStart"/>
      <w:r>
        <w:t>year,  education</w:t>
      </w:r>
      <w:proofErr w:type="gramEnd"/>
      <w:r>
        <w:t xml:space="preserve"> group) cell</w:t>
      </w:r>
      <w:r>
        <w:t xml:space="preserve"> for years 2000, 2019, and 2021</w:t>
      </w:r>
      <w:r>
        <w:t xml:space="preserve">. The </w:t>
      </w:r>
      <w:r w:rsidR="00AC5FFD">
        <w:t>ICD-10 categories for cause</w:t>
      </w:r>
      <w:r>
        <w:t xml:space="preserve"> of death are </w:t>
      </w:r>
      <w:r>
        <w:t>given alphabetically</w:t>
      </w:r>
      <w:r w:rsidR="00AC5FFD">
        <w:t xml:space="preserve">, and described at the bottom of Table 2. Note that I-codes represent cardiovascular disease (CVD); C-codes represent cancer; and U-codes represent COVID-19. </w:t>
      </w:r>
      <w:r>
        <w:t xml:space="preserve"> </w:t>
      </w:r>
    </w:p>
    <w:p w14:paraId="68860187" w14:textId="2A9704FA" w:rsidR="003C5F03" w:rsidRDefault="003C5F03"/>
    <w:p w14:paraId="72F057A3" w14:textId="77777777" w:rsidR="003C5F03" w:rsidRDefault="003C5F03"/>
    <w:p w14:paraId="559F1381" w14:textId="77777777" w:rsidR="00E67C1B" w:rsidRDefault="003C5F03">
      <w:r>
        <w:rPr>
          <w:b/>
          <w:bCs/>
        </w:rPr>
        <w:t>Figure</w:t>
      </w:r>
      <w:r w:rsidR="00F56E1E">
        <w:rPr>
          <w:b/>
          <w:bCs/>
        </w:rPr>
        <w:t>s</w:t>
      </w:r>
      <w:r w:rsidRPr="003C5F03">
        <w:rPr>
          <w:b/>
          <w:bCs/>
        </w:rPr>
        <w:t xml:space="preserve"> 6</w:t>
      </w:r>
      <w:r w:rsidR="00F56E1E">
        <w:rPr>
          <w:b/>
          <w:bCs/>
        </w:rPr>
        <w:t>, 7 and 8</w:t>
      </w:r>
      <w:r>
        <w:t xml:space="preserve">: </w:t>
      </w:r>
      <w:r w:rsidR="00F56E1E">
        <w:t xml:space="preserve">These are created with the do-file </w:t>
      </w:r>
      <w:r w:rsidR="00F56E1E" w:rsidRPr="00F56E1E">
        <w:rPr>
          <w:b/>
        </w:rPr>
        <w:t>graph_fig6_fig7_fig8.do</w:t>
      </w:r>
      <w:r w:rsidR="00F56E1E">
        <w:rPr>
          <w:b/>
        </w:rPr>
        <w:t xml:space="preserve">, </w:t>
      </w:r>
      <w:r w:rsidR="00F56E1E">
        <w:t>which calls</w:t>
      </w:r>
    </w:p>
    <w:p w14:paraId="1C48F443" w14:textId="52BC15C7" w:rsidR="003C5F03" w:rsidRPr="00F56E1E" w:rsidRDefault="00F56E1E" w:rsidP="00E67C1B">
      <w:pPr>
        <w:ind w:firstLine="720"/>
      </w:pPr>
      <w:r w:rsidRPr="00E67C1B">
        <w:rPr>
          <w:b/>
        </w:rPr>
        <w:t xml:space="preserve">Table1.dta </w:t>
      </w:r>
      <w:r>
        <w:t>(described above).</w:t>
      </w:r>
    </w:p>
    <w:p w14:paraId="4491677E" w14:textId="77777777" w:rsidR="003C5F03" w:rsidRPr="00F56E1E" w:rsidRDefault="003C5F03">
      <w:pPr>
        <w:rPr>
          <w:b/>
        </w:rPr>
      </w:pPr>
    </w:p>
    <w:p w14:paraId="5EFF9379" w14:textId="77777777" w:rsidR="003C5F03" w:rsidRPr="003C5F03" w:rsidRDefault="003C5F03"/>
    <w:p w14:paraId="45E09C07" w14:textId="60B76982" w:rsidR="00971B59" w:rsidRPr="005822C8" w:rsidRDefault="00971B59" w:rsidP="00971B59">
      <w:r>
        <w:rPr>
          <w:b/>
          <w:bCs/>
        </w:rPr>
        <w:t>Table 3:</w:t>
      </w:r>
      <w:r>
        <w:t xml:space="preserve"> </w:t>
      </w:r>
      <w:r w:rsidR="00A004ED">
        <w:t xml:space="preserve"> Created using </w:t>
      </w:r>
      <w:r w:rsidR="00A004ED" w:rsidRPr="005822C8">
        <w:rPr>
          <w:b/>
        </w:rPr>
        <w:t>Table3.do</w:t>
      </w:r>
      <w:r w:rsidR="005822C8" w:rsidRPr="005822C8">
        <w:rPr>
          <w:b/>
        </w:rPr>
        <w:t>.</w:t>
      </w:r>
      <w:r w:rsidR="005822C8">
        <w:rPr>
          <w:b/>
        </w:rPr>
        <w:t xml:space="preserve"> </w:t>
      </w:r>
      <w:r w:rsidR="005822C8">
        <w:t xml:space="preserve">This do-file calls a dataset </w:t>
      </w:r>
      <w:r w:rsidR="005822C8" w:rsidRPr="005822C8">
        <w:rPr>
          <w:b/>
        </w:rPr>
        <w:t>Table3.dta</w:t>
      </w:r>
      <w:r w:rsidR="005822C8">
        <w:t xml:space="preserve">, which contains age-adjusted all-cause mortality rates for five age groups and age-adjusted mortality for ages 25-84 taken together. It also includes the population shares of each age group in 2000. </w:t>
      </w:r>
    </w:p>
    <w:p w14:paraId="76593C99" w14:textId="77777777" w:rsidR="00971B59" w:rsidRDefault="00971B59" w:rsidP="00971B59"/>
    <w:p w14:paraId="4B19E518" w14:textId="77777777" w:rsidR="00E67C1B" w:rsidRDefault="00971B59" w:rsidP="00971B59">
      <w:pPr>
        <w:rPr>
          <w:bCs/>
        </w:rPr>
      </w:pPr>
      <w:r w:rsidRPr="00971B59">
        <w:rPr>
          <w:b/>
          <w:bCs/>
        </w:rPr>
        <w:t xml:space="preserve">Figure 9: </w:t>
      </w:r>
      <w:r w:rsidR="00D17D57">
        <w:rPr>
          <w:bCs/>
        </w:rPr>
        <w:t xml:space="preserve">Created with do-file </w:t>
      </w:r>
      <w:r w:rsidR="00D17D57" w:rsidRPr="00382BB1">
        <w:rPr>
          <w:b/>
          <w:bCs/>
        </w:rPr>
        <w:t>graph_figure9.do</w:t>
      </w:r>
      <w:r w:rsidR="00E67C1B">
        <w:rPr>
          <w:bCs/>
        </w:rPr>
        <w:t xml:space="preserve">. </w:t>
      </w:r>
    </w:p>
    <w:p w14:paraId="4FBE4A05" w14:textId="7757799D" w:rsidR="00E67C1B" w:rsidRDefault="00E67C1B" w:rsidP="00E67C1B">
      <w:pPr>
        <w:ind w:left="720"/>
        <w:rPr>
          <w:bCs/>
        </w:rPr>
      </w:pPr>
      <w:r>
        <w:rPr>
          <w:bCs/>
        </w:rPr>
        <w:t xml:space="preserve">Panel A is created using </w:t>
      </w:r>
      <w:r w:rsidR="00382BB1">
        <w:rPr>
          <w:bCs/>
        </w:rPr>
        <w:t xml:space="preserve">ACS data </w:t>
      </w:r>
      <w:r>
        <w:rPr>
          <w:bCs/>
        </w:rPr>
        <w:t xml:space="preserve">(34 million individual records extracted from IPUMS for adults aged 25-84 between 2000 and 2019). These data are not included, but are publicly available. </w:t>
      </w:r>
    </w:p>
    <w:p w14:paraId="5E40A013" w14:textId="3B769852" w:rsidR="00971B59" w:rsidRPr="00382BB1" w:rsidRDefault="00E67C1B" w:rsidP="00E67C1B">
      <w:pPr>
        <w:ind w:left="720"/>
      </w:pPr>
      <w:r>
        <w:rPr>
          <w:bCs/>
        </w:rPr>
        <w:t xml:space="preserve">Panel B is created using dataset </w:t>
      </w:r>
      <w:r w:rsidRPr="00E67C1B">
        <w:rPr>
          <w:b/>
          <w:bCs/>
        </w:rPr>
        <w:t>Figure9.dta</w:t>
      </w:r>
      <w:r>
        <w:rPr>
          <w:bCs/>
        </w:rPr>
        <w:t xml:space="preserve">, which is included here. This contains all-cause mortality counts and population by year, by single year of age, by sex, and BA-status. </w:t>
      </w:r>
    </w:p>
    <w:p w14:paraId="0B2C6946" w14:textId="77777777" w:rsidR="00971B59" w:rsidRDefault="00971B59" w:rsidP="00971B59"/>
    <w:p w14:paraId="70AA75E0" w14:textId="77777777" w:rsidR="005822C8" w:rsidRDefault="00971B59" w:rsidP="005822C8">
      <w:r w:rsidRPr="00971B59">
        <w:rPr>
          <w:b/>
          <w:bCs/>
        </w:rPr>
        <w:t>Figure 10:</w:t>
      </w:r>
      <w:r>
        <w:t xml:space="preserve"> </w:t>
      </w:r>
      <w:r w:rsidR="00B81905">
        <w:t xml:space="preserve">Created with do-file </w:t>
      </w:r>
      <w:r w:rsidR="00B81905" w:rsidRPr="007F6F36">
        <w:rPr>
          <w:b/>
        </w:rPr>
        <w:t>graph_figure_10.do</w:t>
      </w:r>
      <w:r w:rsidR="00B81905">
        <w:t>, which calls mortality rate data from</w:t>
      </w:r>
    </w:p>
    <w:p w14:paraId="0F8C41C1" w14:textId="567904CA" w:rsidR="00B81905" w:rsidRDefault="00B81905" w:rsidP="005822C8">
      <w:pPr>
        <w:ind w:left="720" w:firstLine="60"/>
      </w:pPr>
      <w:r w:rsidRPr="00E67C1B">
        <w:rPr>
          <w:b/>
        </w:rPr>
        <w:t>Figure10.dta</w:t>
      </w:r>
      <w:r>
        <w:t xml:space="preserve"> and wage data downloaded f</w:t>
      </w:r>
      <w:r w:rsidR="007F6F36">
        <w:t xml:space="preserve">or </w:t>
      </w:r>
      <w:r>
        <w:t xml:space="preserve">the NBER/CEPR CPS Outgoing Rotation Groups. </w:t>
      </w:r>
    </w:p>
    <w:p w14:paraId="58831394" w14:textId="2F4EE90A" w:rsidR="00B81905" w:rsidRDefault="005822C8" w:rsidP="005822C8">
      <w:pPr>
        <w:ind w:firstLine="720"/>
      </w:pPr>
      <w:hyperlink r:id="rId5" w:history="1">
        <w:r w:rsidRPr="00AD6DB6">
          <w:rPr>
            <w:rStyle w:val="Hyperlink"/>
          </w:rPr>
          <w:t>https://ceprdata.org/cps-uniform-data-extracts/cps-outgoing-rotation-group/cps-org-data/</w:t>
        </w:r>
      </w:hyperlink>
    </w:p>
    <w:p w14:paraId="6981D900" w14:textId="0F672D62" w:rsidR="00B81905" w:rsidRDefault="00E67C1B" w:rsidP="005822C8">
      <w:pPr>
        <w:ind w:firstLine="720"/>
      </w:pPr>
      <w:r>
        <w:t>The latter are publicly available data</w:t>
      </w:r>
    </w:p>
    <w:p w14:paraId="5619477B" w14:textId="07CDC340" w:rsidR="00B81905" w:rsidRDefault="00B81905" w:rsidP="00B81905">
      <w:pPr>
        <w:ind w:left="720"/>
      </w:pPr>
      <w:r w:rsidRPr="00B81905">
        <w:rPr>
          <w:b/>
        </w:rPr>
        <w:t>Figure10.dta</w:t>
      </w:r>
      <w:r>
        <w:t xml:space="preserve"> contains NVSS data, as described above, </w:t>
      </w:r>
      <w:r w:rsidR="005822C8">
        <w:t>by</w:t>
      </w:r>
      <w:r>
        <w:t xml:space="preserve"> year</w:t>
      </w:r>
      <w:r w:rsidR="005822C8">
        <w:t xml:space="preserve"> and</w:t>
      </w:r>
      <w:r>
        <w:t xml:space="preserve"> education group</w:t>
      </w:r>
      <w:r w:rsidR="005822C8">
        <w:t>, for</w:t>
      </w:r>
      <w:r>
        <w:t xml:space="preserve"> age-adjusted 25-64 mortality rates from drugs, alcohol and suicide (combined) for 1992-2019. </w:t>
      </w:r>
    </w:p>
    <w:p w14:paraId="7BC81536" w14:textId="45E2BAD5" w:rsidR="00E50305" w:rsidRDefault="00E50305" w:rsidP="00B81905">
      <w:pPr>
        <w:ind w:left="720"/>
      </w:pPr>
    </w:p>
    <w:p w14:paraId="57C16A0D" w14:textId="1CE212F8" w:rsidR="00A6380F" w:rsidRDefault="00E50305" w:rsidP="003D79BD">
      <w:r w:rsidRPr="003D79BD">
        <w:rPr>
          <w:b/>
        </w:rPr>
        <w:t>Figure</w:t>
      </w:r>
      <w:r w:rsidR="00A6380F">
        <w:rPr>
          <w:b/>
        </w:rPr>
        <w:t>s</w:t>
      </w:r>
      <w:r w:rsidRPr="003D79BD">
        <w:rPr>
          <w:b/>
        </w:rPr>
        <w:t xml:space="preserve"> 11</w:t>
      </w:r>
      <w:r w:rsidR="00A6380F">
        <w:rPr>
          <w:b/>
        </w:rPr>
        <w:t xml:space="preserve"> and 12</w:t>
      </w:r>
      <w:r w:rsidRPr="003D79BD">
        <w:rPr>
          <w:b/>
        </w:rPr>
        <w:t xml:space="preserve">: </w:t>
      </w:r>
      <w:r w:rsidR="003D79BD">
        <w:t xml:space="preserve">This four-part figure uses data drawn from the CPS, BRFSS, and the NHIS. </w:t>
      </w:r>
    </w:p>
    <w:p w14:paraId="2626629C" w14:textId="13650514" w:rsidR="00E50305" w:rsidRDefault="003D79BD" w:rsidP="00A6380F">
      <w:pPr>
        <w:ind w:left="720" w:right="720"/>
      </w:pPr>
      <w:r>
        <w:t>All are</w:t>
      </w:r>
      <w:r w:rsidR="00A6380F">
        <w:t xml:space="preserve"> </w:t>
      </w:r>
      <w:r>
        <w:t>publicly available datasets</w:t>
      </w:r>
      <w:r w:rsidR="00A6380F">
        <w:t>, which need to be accessed</w:t>
      </w:r>
      <w:r>
        <w:t>.</w:t>
      </w:r>
      <w:r w:rsidR="00BA042F">
        <w:t xml:space="preserve"> Mar</w:t>
      </w:r>
      <w:r w:rsidR="00A6380F">
        <w:t xml:space="preserve">riage data from the CPS was drawn from IPUMS. The do-files that create the pain, and difficulty socializing, data from NHIS is </w:t>
      </w:r>
      <w:r w:rsidR="00A6380F" w:rsidRPr="00A6380F">
        <w:rPr>
          <w:b/>
        </w:rPr>
        <w:t>graph_Fig11_NHIS.do</w:t>
      </w:r>
      <w:r w:rsidR="00A6380F">
        <w:t xml:space="preserve"> The do-file that creates the extreme mental health data from BRFSS is </w:t>
      </w:r>
      <w:r w:rsidR="00A6380F" w:rsidRPr="00A6380F">
        <w:rPr>
          <w:b/>
        </w:rPr>
        <w:t>graph_Fig11_BRFSS_menthlth.do</w:t>
      </w:r>
      <w:r w:rsidR="00A6380F">
        <w:t xml:space="preserve">. </w:t>
      </w:r>
    </w:p>
    <w:p w14:paraId="25809A72" w14:textId="5F9CEA61" w:rsidR="006054EF" w:rsidRDefault="006054EF" w:rsidP="00A6380F">
      <w:pPr>
        <w:ind w:left="720" w:right="720"/>
      </w:pPr>
      <w:r>
        <w:t>The pain, socializing, mental health gaps drawn in Figure 12 are created at the bottom of the do-files for Figure 11.</w:t>
      </w:r>
    </w:p>
    <w:p w14:paraId="21D86C46" w14:textId="77777777" w:rsidR="00556842" w:rsidRDefault="00556842" w:rsidP="00A6380F">
      <w:pPr>
        <w:ind w:left="720" w:right="720"/>
      </w:pPr>
    </w:p>
    <w:p w14:paraId="7C9DB223" w14:textId="77777777" w:rsidR="00246373" w:rsidRDefault="00556842" w:rsidP="00246373">
      <w:pPr>
        <w:ind w:right="720"/>
      </w:pPr>
      <w:r w:rsidRPr="00556842">
        <w:rPr>
          <w:b/>
        </w:rPr>
        <w:t>Figure 13:</w:t>
      </w:r>
      <w:r>
        <w:rPr>
          <w:b/>
        </w:rPr>
        <w:t xml:space="preserve"> </w:t>
      </w:r>
      <w:r>
        <w:t xml:space="preserve">Data for Figure 13 were drawn from IPUM (Census 1970, 1980, 1990, 2000), </w:t>
      </w:r>
    </w:p>
    <w:p w14:paraId="2090E1FD" w14:textId="33916BD9" w:rsidR="00556842" w:rsidRPr="00246373" w:rsidRDefault="00556842" w:rsidP="00246373">
      <w:pPr>
        <w:ind w:left="720" w:right="720"/>
        <w:rPr>
          <w:b/>
        </w:rPr>
      </w:pPr>
      <w:r>
        <w:t xml:space="preserve">CPS (even years </w:t>
      </w:r>
      <w:r w:rsidR="00246373">
        <w:t xml:space="preserve">1980-2000 other than census years, and ACS (annually from 2001). The do-file that combines the IPUMS data with the CPS data and draws Figure 13 is </w:t>
      </w:r>
      <w:r w:rsidR="00246373" w:rsidRPr="00246373">
        <w:rPr>
          <w:b/>
        </w:rPr>
        <w:t>Fig13_faminc_mean_median.do</w:t>
      </w:r>
      <w:r w:rsidR="00246373">
        <w:rPr>
          <w:b/>
        </w:rPr>
        <w:t>.</w:t>
      </w:r>
    </w:p>
    <w:p w14:paraId="5020FFA2" w14:textId="77777777" w:rsidR="00971B59" w:rsidRDefault="00971B59" w:rsidP="00B81905">
      <w:pPr>
        <w:spacing w:before="600"/>
        <w:ind w:left="720"/>
      </w:pPr>
    </w:p>
    <w:p w14:paraId="65D3474C" w14:textId="45862881" w:rsidR="003C5F03" w:rsidRPr="003C5F03" w:rsidRDefault="003C5F03" w:rsidP="00A50230"/>
    <w:p w14:paraId="3CB6DD3C" w14:textId="77777777" w:rsidR="00120581" w:rsidRDefault="00120581"/>
    <w:p w14:paraId="41AF0862" w14:textId="77777777" w:rsidR="00120581" w:rsidRPr="00120581" w:rsidRDefault="00120581"/>
    <w:p w14:paraId="3D6BE1DB" w14:textId="77777777" w:rsidR="00120581" w:rsidRDefault="00120581"/>
    <w:p w14:paraId="7DCC5AE8" w14:textId="77777777" w:rsidR="00120581" w:rsidRDefault="00120581"/>
    <w:p w14:paraId="545E65AD" w14:textId="77777777" w:rsidR="00120581" w:rsidRDefault="00120581"/>
    <w:p w14:paraId="03BCA7B3" w14:textId="77777777" w:rsidR="00120581" w:rsidRDefault="00120581"/>
    <w:sectPr w:rsidR="00120581" w:rsidSect="002E4C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581"/>
    <w:rsid w:val="00045A85"/>
    <w:rsid w:val="00120581"/>
    <w:rsid w:val="00136B7E"/>
    <w:rsid w:val="00246373"/>
    <w:rsid w:val="002E4CAC"/>
    <w:rsid w:val="00382BB1"/>
    <w:rsid w:val="003A400C"/>
    <w:rsid w:val="003C5F03"/>
    <w:rsid w:val="003D79BD"/>
    <w:rsid w:val="003F0FCE"/>
    <w:rsid w:val="004209D7"/>
    <w:rsid w:val="004519CB"/>
    <w:rsid w:val="00457AA7"/>
    <w:rsid w:val="00497C4F"/>
    <w:rsid w:val="00556842"/>
    <w:rsid w:val="005822C8"/>
    <w:rsid w:val="005C2938"/>
    <w:rsid w:val="006054EF"/>
    <w:rsid w:val="0065739D"/>
    <w:rsid w:val="007B48BB"/>
    <w:rsid w:val="007F6F36"/>
    <w:rsid w:val="00833204"/>
    <w:rsid w:val="008B19DE"/>
    <w:rsid w:val="008E6C19"/>
    <w:rsid w:val="00971B59"/>
    <w:rsid w:val="00A004ED"/>
    <w:rsid w:val="00A50230"/>
    <w:rsid w:val="00A6380F"/>
    <w:rsid w:val="00AC5FFD"/>
    <w:rsid w:val="00B81905"/>
    <w:rsid w:val="00BA042F"/>
    <w:rsid w:val="00BF166D"/>
    <w:rsid w:val="00D17D57"/>
    <w:rsid w:val="00D5012B"/>
    <w:rsid w:val="00DE1D6F"/>
    <w:rsid w:val="00E50305"/>
    <w:rsid w:val="00E67C1B"/>
    <w:rsid w:val="00EB5D39"/>
    <w:rsid w:val="00F56E1E"/>
    <w:rsid w:val="00FA4423"/>
    <w:rsid w:val="00FE57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2AB7A"/>
  <w15:chartTrackingRefBased/>
  <w15:docId w15:val="{6FC739EB-2EC1-6149-8E46-F568998C7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aramond" w:eastAsiaTheme="minorHAnsi" w:hAnsi="Garamond" w:cs="Times New Roman (Body CS)"/>
        <w:sz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20581"/>
    <w:rPr>
      <w:color w:val="0563C1" w:themeColor="hyperlink"/>
      <w:u w:val="single"/>
    </w:rPr>
  </w:style>
  <w:style w:type="character" w:styleId="UnresolvedMention">
    <w:name w:val="Unresolved Mention"/>
    <w:basedOn w:val="DefaultParagraphFont"/>
    <w:uiPriority w:val="99"/>
    <w:rsid w:val="001205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ceprdata.org/cps-uniform-data-extracts/cps-outgoing-rotation-group/cps-org-data/" TargetMode="External"/><Relationship Id="rId4" Type="http://schemas.openxmlformats.org/officeDocument/2006/relationships/hyperlink" Target="https://www.mortality.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1102</Words>
  <Characters>5140</Characters>
  <Application>Microsoft Office Word</Application>
  <DocSecurity>0</DocSecurity>
  <Lines>856</Lines>
  <Paragraphs>780</Paragraphs>
  <ScaleCrop>false</ScaleCrop>
  <HeadingPairs>
    <vt:vector size="2" baseType="variant">
      <vt:variant>
        <vt:lpstr>Title</vt:lpstr>
      </vt:variant>
      <vt:variant>
        <vt:i4>1</vt:i4>
      </vt:variant>
    </vt:vector>
  </HeadingPairs>
  <TitlesOfParts>
    <vt:vector size="1" baseType="lpstr">
      <vt:lpstr/>
    </vt:vector>
  </TitlesOfParts>
  <Company>Princeton University</Company>
  <LinksUpToDate>false</LinksUpToDate>
  <CharactersWithSpaces>5462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Angus S. Deaton</dc:creator>
  <cp:keywords/>
  <dc:description/>
  <cp:lastModifiedBy>Anne C. Case</cp:lastModifiedBy>
  <cp:revision>2</cp:revision>
  <dcterms:created xsi:type="dcterms:W3CDTF">2023-11-06T20:40:00Z</dcterms:created>
  <dcterms:modified xsi:type="dcterms:W3CDTF">2023-11-06T20:40:00Z</dcterms:modified>
</cp:coreProperties>
</file>