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8BE830" w14:textId="1E45A27E" w:rsidR="005978A5" w:rsidRPr="005050C1" w:rsidRDefault="005978A5" w:rsidP="00A55550">
      <w:pPr>
        <w:spacing w:after="120"/>
        <w:ind w:left="720" w:hanging="720"/>
        <w:jc w:val="center"/>
        <w:rPr>
          <w:rFonts w:ascii="dcr10" w:hAnsi="dcr10"/>
          <w:b/>
        </w:rPr>
      </w:pPr>
      <w:r>
        <w:rPr>
          <w:rFonts w:ascii="dcr10" w:hAnsi="dcr10"/>
          <w:b/>
        </w:rPr>
        <w:t>Table I</w:t>
      </w:r>
      <w:r w:rsidRPr="005050C1">
        <w:rPr>
          <w:rFonts w:ascii="dcr10" w:hAnsi="dcr10"/>
          <w:b/>
        </w:rPr>
        <w:br/>
      </w:r>
      <w:r>
        <w:rPr>
          <w:rFonts w:ascii="dcr10" w:hAnsi="dcr10"/>
          <w:b/>
        </w:rPr>
        <w:t>Summary of International Bank Data</w:t>
      </w:r>
    </w:p>
    <w:p w14:paraId="365764A9" w14:textId="03DBE5D1" w:rsidR="005978A5" w:rsidRDefault="005978A5" w:rsidP="005978A5">
      <w:pPr>
        <w:jc w:val="both"/>
        <w:rPr>
          <w:rFonts w:ascii="dcr10" w:hAnsi="dcr10"/>
        </w:rPr>
      </w:pPr>
      <w:r w:rsidRPr="007F656B">
        <w:rPr>
          <w:rFonts w:ascii="dcr10" w:hAnsi="dcr10"/>
        </w:rPr>
        <w:t xml:space="preserve">This table summarizes </w:t>
      </w:r>
      <w:r>
        <w:rPr>
          <w:rFonts w:ascii="dcr10" w:hAnsi="dcr10"/>
        </w:rPr>
        <w:t xml:space="preserve">specific characteristics of international financial institutions. Each is an average of the relevant measure across these six firms. Pre-crisis is 2002-2007, unless noted otherwise. We compare pre-crisis to the most recent 2014 measure.  </w:t>
      </w:r>
    </w:p>
    <w:p w14:paraId="51BD7E89" w14:textId="77777777" w:rsidR="005978A5" w:rsidRPr="007F656B" w:rsidRDefault="005978A5" w:rsidP="005978A5">
      <w:pPr>
        <w:jc w:val="both"/>
        <w:rPr>
          <w:rFonts w:ascii="dcr10" w:hAnsi="dcr10"/>
        </w:rPr>
      </w:pPr>
    </w:p>
    <w:tbl>
      <w:tblPr>
        <w:tblW w:w="5000" w:type="pct"/>
        <w:jc w:val="center"/>
        <w:tblLook w:val="04A0" w:firstRow="1" w:lastRow="0" w:firstColumn="1" w:lastColumn="0" w:noHBand="0" w:noVBand="1"/>
      </w:tblPr>
      <w:tblGrid>
        <w:gridCol w:w="3618"/>
        <w:gridCol w:w="2135"/>
        <w:gridCol w:w="2146"/>
        <w:gridCol w:w="1965"/>
      </w:tblGrid>
      <w:tr w:rsidR="005978A5" w:rsidRPr="005050C1" w14:paraId="0761C1D1" w14:textId="77777777" w:rsidTr="00B86BE9">
        <w:trPr>
          <w:trHeight w:val="300"/>
          <w:jc w:val="center"/>
        </w:trPr>
        <w:tc>
          <w:tcPr>
            <w:tcW w:w="1834" w:type="pct"/>
            <w:tcBorders>
              <w:top w:val="single" w:sz="4" w:space="0" w:color="auto"/>
              <w:left w:val="nil"/>
              <w:bottom w:val="single" w:sz="4" w:space="0" w:color="auto"/>
              <w:right w:val="nil"/>
            </w:tcBorders>
            <w:shd w:val="clear" w:color="auto" w:fill="auto"/>
            <w:noWrap/>
            <w:vAlign w:val="bottom"/>
          </w:tcPr>
          <w:p w14:paraId="6DAC311F" w14:textId="77777777" w:rsidR="005978A5" w:rsidRPr="006B7B2E" w:rsidRDefault="005978A5" w:rsidP="00B86BE9">
            <w:pPr>
              <w:jc w:val="both"/>
              <w:rPr>
                <w:rFonts w:ascii="dcr10" w:eastAsia="Times New Roman" w:hAnsi="dcr10" w:cs="Times New Roman"/>
                <w:b/>
                <w:color w:val="000000"/>
                <w:sz w:val="20"/>
                <w:szCs w:val="20"/>
              </w:rPr>
            </w:pPr>
            <w:r w:rsidRPr="006B7B2E">
              <w:rPr>
                <w:rFonts w:ascii="dcr10" w:eastAsia="Times New Roman" w:hAnsi="dcr10" w:cs="Times New Roman"/>
                <w:b/>
                <w:color w:val="000000"/>
                <w:sz w:val="20"/>
                <w:szCs w:val="20"/>
              </w:rPr>
              <w:t>Measure</w:t>
            </w:r>
          </w:p>
        </w:tc>
        <w:tc>
          <w:tcPr>
            <w:tcW w:w="1082" w:type="pct"/>
            <w:tcBorders>
              <w:top w:val="single" w:sz="4" w:space="0" w:color="auto"/>
              <w:left w:val="nil"/>
              <w:bottom w:val="single" w:sz="4" w:space="0" w:color="auto"/>
              <w:right w:val="nil"/>
            </w:tcBorders>
            <w:shd w:val="clear" w:color="auto" w:fill="auto"/>
            <w:noWrap/>
            <w:vAlign w:val="bottom"/>
          </w:tcPr>
          <w:p w14:paraId="01E56CEC" w14:textId="77777777" w:rsidR="005978A5" w:rsidRPr="006B7B2E" w:rsidRDefault="005978A5" w:rsidP="00B86BE9">
            <w:pPr>
              <w:jc w:val="both"/>
              <w:rPr>
                <w:rFonts w:ascii="dcr10" w:eastAsia="Times New Roman" w:hAnsi="dcr10" w:cs="Times New Roman"/>
                <w:b/>
                <w:color w:val="000000"/>
                <w:sz w:val="20"/>
                <w:szCs w:val="20"/>
              </w:rPr>
            </w:pPr>
            <w:r w:rsidRPr="006B7B2E">
              <w:rPr>
                <w:rFonts w:ascii="dcr10" w:eastAsia="Times New Roman" w:hAnsi="dcr10" w:cs="Times New Roman"/>
                <w:b/>
                <w:color w:val="000000"/>
                <w:sz w:val="20"/>
                <w:szCs w:val="20"/>
              </w:rPr>
              <w:t>Pre-crisis average</w:t>
            </w:r>
          </w:p>
        </w:tc>
        <w:tc>
          <w:tcPr>
            <w:tcW w:w="1088" w:type="pct"/>
            <w:tcBorders>
              <w:top w:val="single" w:sz="4" w:space="0" w:color="auto"/>
              <w:left w:val="nil"/>
              <w:bottom w:val="single" w:sz="4" w:space="0" w:color="auto"/>
              <w:right w:val="nil"/>
            </w:tcBorders>
            <w:vAlign w:val="bottom"/>
          </w:tcPr>
          <w:p w14:paraId="59905A8C" w14:textId="77777777" w:rsidR="005978A5" w:rsidRPr="006B7B2E" w:rsidRDefault="005978A5" w:rsidP="00B86BE9">
            <w:pPr>
              <w:ind w:right="-527"/>
              <w:jc w:val="both"/>
              <w:rPr>
                <w:rFonts w:ascii="dcr10" w:eastAsia="Times New Roman" w:hAnsi="dcr10" w:cs="Times New Roman"/>
                <w:b/>
                <w:color w:val="000000"/>
                <w:sz w:val="20"/>
                <w:szCs w:val="20"/>
              </w:rPr>
            </w:pPr>
            <w:r w:rsidRPr="006B7B2E">
              <w:rPr>
                <w:rFonts w:ascii="dcr10" w:eastAsia="Times New Roman" w:hAnsi="dcr10" w:cs="Times New Roman"/>
                <w:b/>
                <w:color w:val="000000"/>
                <w:sz w:val="20"/>
                <w:szCs w:val="20"/>
              </w:rPr>
              <w:t>Post-crisis average</w:t>
            </w:r>
          </w:p>
        </w:tc>
        <w:tc>
          <w:tcPr>
            <w:tcW w:w="996" w:type="pct"/>
            <w:tcBorders>
              <w:top w:val="single" w:sz="4" w:space="0" w:color="auto"/>
              <w:left w:val="nil"/>
              <w:bottom w:val="single" w:sz="4" w:space="0" w:color="auto"/>
              <w:right w:val="nil"/>
            </w:tcBorders>
            <w:shd w:val="clear" w:color="auto" w:fill="auto"/>
            <w:noWrap/>
            <w:vAlign w:val="bottom"/>
          </w:tcPr>
          <w:p w14:paraId="11EE8B46" w14:textId="77777777" w:rsidR="005978A5" w:rsidRPr="006B7B2E" w:rsidRDefault="005978A5" w:rsidP="00B86BE9">
            <w:pPr>
              <w:jc w:val="both"/>
              <w:rPr>
                <w:rFonts w:ascii="dcr10" w:eastAsia="Times New Roman" w:hAnsi="dcr10" w:cs="Times New Roman"/>
                <w:b/>
                <w:color w:val="000000"/>
                <w:sz w:val="20"/>
                <w:szCs w:val="20"/>
              </w:rPr>
            </w:pPr>
            <w:r>
              <w:rPr>
                <w:rFonts w:ascii="dcr10" w:eastAsia="Times New Roman" w:hAnsi="dcr10" w:cs="Times New Roman"/>
                <w:b/>
                <w:color w:val="000000"/>
                <w:sz w:val="20"/>
                <w:szCs w:val="20"/>
              </w:rPr>
              <w:t xml:space="preserve"> </w:t>
            </w:r>
            <w:r w:rsidRPr="006B7B2E">
              <w:rPr>
                <w:rFonts w:ascii="dcr10" w:eastAsia="Times New Roman" w:hAnsi="dcr10" w:cs="Times New Roman"/>
                <w:b/>
                <w:color w:val="000000"/>
                <w:sz w:val="20"/>
                <w:szCs w:val="20"/>
              </w:rPr>
              <w:t>2014 average</w:t>
            </w:r>
          </w:p>
        </w:tc>
      </w:tr>
      <w:tr w:rsidR="00666717" w:rsidRPr="005050C1" w14:paraId="7F25854B" w14:textId="77777777" w:rsidTr="00B86BE9">
        <w:trPr>
          <w:trHeight w:val="300"/>
          <w:jc w:val="center"/>
        </w:trPr>
        <w:tc>
          <w:tcPr>
            <w:tcW w:w="1834" w:type="pct"/>
            <w:tcBorders>
              <w:top w:val="nil"/>
              <w:left w:val="nil"/>
              <w:bottom w:val="nil"/>
              <w:right w:val="nil"/>
            </w:tcBorders>
            <w:shd w:val="clear" w:color="auto" w:fill="auto"/>
            <w:noWrap/>
            <w:vAlign w:val="center"/>
          </w:tcPr>
          <w:p w14:paraId="4C552A0B" w14:textId="77777777" w:rsidR="00666717" w:rsidRPr="005654B5" w:rsidRDefault="00666717" w:rsidP="00B86BE9">
            <w:pPr>
              <w:rPr>
                <w:rFonts w:ascii="dcr10" w:eastAsia="Times New Roman" w:hAnsi="dcr10" w:cs="Times New Roman"/>
                <w:color w:val="000000"/>
                <w:sz w:val="18"/>
                <w:szCs w:val="18"/>
              </w:rPr>
            </w:pPr>
            <w:r w:rsidRPr="005654B5">
              <w:rPr>
                <w:rFonts w:ascii="dcr10" w:eastAsia="Times New Roman" w:hAnsi="dcr10" w:cs="Times New Roman"/>
                <w:color w:val="000000"/>
                <w:sz w:val="18"/>
                <w:szCs w:val="18"/>
              </w:rPr>
              <w:t>Beta</w:t>
            </w:r>
          </w:p>
        </w:tc>
        <w:tc>
          <w:tcPr>
            <w:tcW w:w="1082" w:type="pct"/>
            <w:tcBorders>
              <w:top w:val="nil"/>
              <w:left w:val="nil"/>
              <w:bottom w:val="nil"/>
              <w:right w:val="nil"/>
            </w:tcBorders>
            <w:shd w:val="clear" w:color="auto" w:fill="auto"/>
            <w:noWrap/>
            <w:vAlign w:val="center"/>
          </w:tcPr>
          <w:p w14:paraId="7A3ACDE5" w14:textId="2B216D18" w:rsidR="00666717" w:rsidRPr="005654B5" w:rsidRDefault="00666717" w:rsidP="00B86BE9">
            <w:pPr>
              <w:ind w:right="1216"/>
              <w:jc w:val="right"/>
              <w:rPr>
                <w:rFonts w:ascii="dcr10" w:eastAsia="Times New Roman" w:hAnsi="dcr10" w:cs="Times New Roman"/>
                <w:color w:val="000000"/>
                <w:sz w:val="17"/>
                <w:szCs w:val="17"/>
              </w:rPr>
            </w:pPr>
            <w:r>
              <w:rPr>
                <w:rFonts w:ascii="dcr10" w:eastAsia="Times New Roman" w:hAnsi="dcr10" w:cs="Times New Roman"/>
                <w:color w:val="000000"/>
                <w:sz w:val="17"/>
                <w:szCs w:val="17"/>
              </w:rPr>
              <w:t>0.77</w:t>
            </w:r>
          </w:p>
        </w:tc>
        <w:tc>
          <w:tcPr>
            <w:tcW w:w="1088" w:type="pct"/>
            <w:tcBorders>
              <w:top w:val="nil"/>
              <w:left w:val="nil"/>
              <w:bottom w:val="nil"/>
              <w:right w:val="nil"/>
            </w:tcBorders>
            <w:vAlign w:val="center"/>
          </w:tcPr>
          <w:p w14:paraId="3CF9CB98" w14:textId="4CF29FEF" w:rsidR="00666717" w:rsidRPr="005654B5" w:rsidRDefault="00666717" w:rsidP="00B86BE9">
            <w:pPr>
              <w:ind w:right="1216"/>
              <w:jc w:val="right"/>
              <w:rPr>
                <w:rFonts w:ascii="dcr10" w:eastAsia="Times New Roman" w:hAnsi="dcr10" w:cs="Times New Roman"/>
                <w:color w:val="000000"/>
                <w:sz w:val="18"/>
                <w:szCs w:val="18"/>
              </w:rPr>
            </w:pPr>
            <w:r>
              <w:rPr>
                <w:rFonts w:ascii="dcr10" w:eastAsia="Times New Roman" w:hAnsi="dcr10" w:cs="Times New Roman"/>
                <w:color w:val="000000"/>
                <w:sz w:val="17"/>
                <w:szCs w:val="17"/>
              </w:rPr>
              <w:t>1.05</w:t>
            </w:r>
          </w:p>
        </w:tc>
        <w:tc>
          <w:tcPr>
            <w:tcW w:w="996" w:type="pct"/>
            <w:tcBorders>
              <w:top w:val="nil"/>
              <w:left w:val="nil"/>
              <w:bottom w:val="nil"/>
              <w:right w:val="nil"/>
            </w:tcBorders>
            <w:shd w:val="clear" w:color="auto" w:fill="auto"/>
            <w:noWrap/>
            <w:vAlign w:val="center"/>
          </w:tcPr>
          <w:p w14:paraId="5604545E" w14:textId="1ABEDC54" w:rsidR="00666717" w:rsidRPr="005654B5" w:rsidRDefault="00666717" w:rsidP="00B86BE9">
            <w:pPr>
              <w:ind w:right="1216"/>
              <w:jc w:val="right"/>
              <w:rPr>
                <w:rFonts w:ascii="dcr10" w:eastAsia="Times New Roman" w:hAnsi="dcr10" w:cs="Times New Roman"/>
                <w:color w:val="000000"/>
                <w:sz w:val="17"/>
                <w:szCs w:val="17"/>
              </w:rPr>
            </w:pPr>
            <w:r>
              <w:rPr>
                <w:rFonts w:ascii="dcr10" w:eastAsia="Times New Roman" w:hAnsi="dcr10" w:cs="Times New Roman"/>
                <w:color w:val="000000"/>
                <w:sz w:val="17"/>
                <w:szCs w:val="17"/>
              </w:rPr>
              <w:t>0.99</w:t>
            </w:r>
          </w:p>
        </w:tc>
      </w:tr>
      <w:tr w:rsidR="00666717" w:rsidRPr="005050C1" w14:paraId="7EBED1D0" w14:textId="77777777" w:rsidTr="00B86BE9">
        <w:trPr>
          <w:trHeight w:val="300"/>
          <w:jc w:val="center"/>
        </w:trPr>
        <w:tc>
          <w:tcPr>
            <w:tcW w:w="1834" w:type="pct"/>
            <w:tcBorders>
              <w:top w:val="nil"/>
              <w:left w:val="nil"/>
              <w:bottom w:val="nil"/>
              <w:right w:val="nil"/>
            </w:tcBorders>
            <w:shd w:val="clear" w:color="auto" w:fill="auto"/>
            <w:noWrap/>
            <w:vAlign w:val="center"/>
          </w:tcPr>
          <w:p w14:paraId="5D7784B5" w14:textId="77777777" w:rsidR="00666717" w:rsidRPr="005654B5" w:rsidRDefault="00666717" w:rsidP="00B86BE9">
            <w:pPr>
              <w:rPr>
                <w:rFonts w:ascii="dcr10" w:eastAsia="Times New Roman" w:hAnsi="dcr10" w:cs="Times New Roman"/>
                <w:color w:val="000000"/>
                <w:sz w:val="18"/>
                <w:szCs w:val="18"/>
              </w:rPr>
            </w:pPr>
            <w:r w:rsidRPr="005654B5">
              <w:rPr>
                <w:rFonts w:ascii="dcr10" w:eastAsia="Times New Roman" w:hAnsi="dcr10" w:cs="Times New Roman"/>
                <w:color w:val="000000"/>
                <w:sz w:val="18"/>
                <w:szCs w:val="18"/>
              </w:rPr>
              <w:t>Volatility</w:t>
            </w:r>
          </w:p>
        </w:tc>
        <w:tc>
          <w:tcPr>
            <w:tcW w:w="1082" w:type="pct"/>
            <w:tcBorders>
              <w:top w:val="nil"/>
              <w:left w:val="nil"/>
              <w:bottom w:val="nil"/>
              <w:right w:val="nil"/>
            </w:tcBorders>
            <w:shd w:val="clear" w:color="auto" w:fill="auto"/>
            <w:noWrap/>
            <w:vAlign w:val="center"/>
          </w:tcPr>
          <w:p w14:paraId="4D2AF456" w14:textId="3B35C75C" w:rsidR="00666717" w:rsidRPr="005654B5" w:rsidRDefault="00666717" w:rsidP="00B86BE9">
            <w:pPr>
              <w:ind w:right="1216"/>
              <w:jc w:val="right"/>
              <w:rPr>
                <w:rFonts w:ascii="dcr10" w:eastAsia="Times New Roman" w:hAnsi="dcr10" w:cs="Times New Roman"/>
                <w:color w:val="000000"/>
                <w:sz w:val="17"/>
                <w:szCs w:val="17"/>
              </w:rPr>
            </w:pPr>
            <w:r>
              <w:rPr>
                <w:rFonts w:ascii="dcr10" w:eastAsia="Times New Roman" w:hAnsi="dcr10" w:cs="Times New Roman"/>
                <w:color w:val="000000"/>
                <w:sz w:val="17"/>
                <w:szCs w:val="17"/>
              </w:rPr>
              <w:t>26.87</w:t>
            </w:r>
          </w:p>
        </w:tc>
        <w:tc>
          <w:tcPr>
            <w:tcW w:w="1088" w:type="pct"/>
            <w:tcBorders>
              <w:top w:val="nil"/>
              <w:left w:val="nil"/>
              <w:bottom w:val="nil"/>
              <w:right w:val="nil"/>
            </w:tcBorders>
            <w:vAlign w:val="center"/>
          </w:tcPr>
          <w:p w14:paraId="03EC6641" w14:textId="5FF7A42B" w:rsidR="00666717" w:rsidRPr="005654B5" w:rsidRDefault="00666717" w:rsidP="00B86BE9">
            <w:pPr>
              <w:ind w:right="1216"/>
              <w:jc w:val="right"/>
              <w:rPr>
                <w:rFonts w:ascii="dcr10" w:eastAsia="Times New Roman" w:hAnsi="dcr10" w:cs="Times New Roman"/>
                <w:color w:val="000000"/>
                <w:sz w:val="18"/>
                <w:szCs w:val="18"/>
              </w:rPr>
            </w:pPr>
            <w:r>
              <w:rPr>
                <w:rFonts w:ascii="dcr10" w:eastAsia="Times New Roman" w:hAnsi="dcr10" w:cs="Times New Roman"/>
                <w:color w:val="000000"/>
                <w:sz w:val="17"/>
                <w:szCs w:val="17"/>
              </w:rPr>
              <w:t>34.10</w:t>
            </w:r>
          </w:p>
        </w:tc>
        <w:tc>
          <w:tcPr>
            <w:tcW w:w="996" w:type="pct"/>
            <w:tcBorders>
              <w:top w:val="nil"/>
              <w:left w:val="nil"/>
              <w:bottom w:val="nil"/>
              <w:right w:val="nil"/>
            </w:tcBorders>
            <w:shd w:val="clear" w:color="auto" w:fill="auto"/>
            <w:noWrap/>
            <w:vAlign w:val="center"/>
          </w:tcPr>
          <w:p w14:paraId="1F1B8B61" w14:textId="42DAC7C9" w:rsidR="00666717" w:rsidRPr="005654B5" w:rsidRDefault="00666717" w:rsidP="00B86BE9">
            <w:pPr>
              <w:ind w:right="1216"/>
              <w:jc w:val="right"/>
              <w:rPr>
                <w:rFonts w:ascii="dcr10" w:eastAsia="Times New Roman" w:hAnsi="dcr10" w:cs="Times New Roman"/>
                <w:color w:val="000000"/>
                <w:sz w:val="17"/>
                <w:szCs w:val="17"/>
              </w:rPr>
            </w:pPr>
            <w:r>
              <w:rPr>
                <w:rFonts w:ascii="dcr10" w:eastAsia="Times New Roman" w:hAnsi="dcr10" w:cs="Times New Roman"/>
                <w:color w:val="000000"/>
                <w:sz w:val="17"/>
                <w:szCs w:val="17"/>
              </w:rPr>
              <w:t>23.80</w:t>
            </w:r>
          </w:p>
        </w:tc>
      </w:tr>
      <w:tr w:rsidR="00666717" w:rsidRPr="005050C1" w14:paraId="3295F4EB" w14:textId="77777777" w:rsidTr="00B86BE9">
        <w:trPr>
          <w:trHeight w:val="300"/>
          <w:jc w:val="center"/>
        </w:trPr>
        <w:tc>
          <w:tcPr>
            <w:tcW w:w="1834" w:type="pct"/>
            <w:tcBorders>
              <w:top w:val="nil"/>
              <w:left w:val="nil"/>
              <w:right w:val="nil"/>
            </w:tcBorders>
            <w:shd w:val="clear" w:color="auto" w:fill="auto"/>
            <w:noWrap/>
            <w:vAlign w:val="center"/>
          </w:tcPr>
          <w:p w14:paraId="798426FF" w14:textId="77777777" w:rsidR="00666717" w:rsidRPr="005654B5" w:rsidRDefault="00666717" w:rsidP="00B86BE9">
            <w:pPr>
              <w:rPr>
                <w:rFonts w:ascii="dcr10" w:eastAsia="Times New Roman" w:hAnsi="dcr10" w:cs="Times New Roman"/>
                <w:color w:val="000000"/>
                <w:sz w:val="18"/>
                <w:szCs w:val="18"/>
              </w:rPr>
            </w:pPr>
            <w:r w:rsidRPr="005654B5">
              <w:rPr>
                <w:rFonts w:ascii="dcr10" w:eastAsia="Times New Roman" w:hAnsi="dcr10" w:cs="Times New Roman"/>
                <w:color w:val="000000"/>
                <w:sz w:val="18"/>
                <w:szCs w:val="18"/>
              </w:rPr>
              <w:t>Bank volatility/market volatility</w:t>
            </w:r>
            <w:r w:rsidRPr="005654B5">
              <w:rPr>
                <w:rFonts w:ascii="dcr10" w:eastAsia="Times New Roman" w:hAnsi="dcr10" w:cs="Times New Roman"/>
                <w:color w:val="000000"/>
                <w:sz w:val="18"/>
                <w:szCs w:val="18"/>
                <w:vertAlign w:val="superscript"/>
              </w:rPr>
              <w:t>+</w:t>
            </w:r>
          </w:p>
        </w:tc>
        <w:tc>
          <w:tcPr>
            <w:tcW w:w="1082" w:type="pct"/>
            <w:tcBorders>
              <w:top w:val="nil"/>
              <w:left w:val="nil"/>
              <w:right w:val="nil"/>
            </w:tcBorders>
            <w:shd w:val="clear" w:color="auto" w:fill="auto"/>
            <w:noWrap/>
            <w:vAlign w:val="center"/>
          </w:tcPr>
          <w:p w14:paraId="5DD91060" w14:textId="111A7D86" w:rsidR="00666717" w:rsidRPr="005654B5" w:rsidRDefault="00666717" w:rsidP="00B86BE9">
            <w:pPr>
              <w:ind w:right="1216"/>
              <w:jc w:val="right"/>
              <w:rPr>
                <w:rFonts w:ascii="dcr10" w:eastAsia="Times New Roman" w:hAnsi="dcr10" w:cs="Times New Roman"/>
                <w:color w:val="000000"/>
                <w:sz w:val="17"/>
                <w:szCs w:val="17"/>
              </w:rPr>
            </w:pPr>
            <w:r>
              <w:rPr>
                <w:rFonts w:ascii="dcr10" w:eastAsia="Times New Roman" w:hAnsi="dcr10" w:cs="Times New Roman"/>
                <w:color w:val="000000"/>
                <w:sz w:val="17"/>
                <w:szCs w:val="17"/>
              </w:rPr>
              <w:t>8.91</w:t>
            </w:r>
          </w:p>
        </w:tc>
        <w:tc>
          <w:tcPr>
            <w:tcW w:w="1088" w:type="pct"/>
            <w:tcBorders>
              <w:top w:val="nil"/>
              <w:left w:val="nil"/>
              <w:right w:val="nil"/>
            </w:tcBorders>
            <w:vAlign w:val="center"/>
          </w:tcPr>
          <w:p w14:paraId="6B5629EF" w14:textId="5C38D053" w:rsidR="00666717" w:rsidRPr="005654B5" w:rsidRDefault="00666717" w:rsidP="00B86BE9">
            <w:pPr>
              <w:ind w:right="1216"/>
              <w:jc w:val="right"/>
              <w:rPr>
                <w:rFonts w:ascii="dcr10" w:eastAsia="Times New Roman" w:hAnsi="dcr10" w:cs="Times New Roman"/>
                <w:color w:val="000000"/>
                <w:sz w:val="18"/>
                <w:szCs w:val="18"/>
              </w:rPr>
            </w:pPr>
            <w:r>
              <w:rPr>
                <w:rFonts w:ascii="dcr10" w:eastAsia="Times New Roman" w:hAnsi="dcr10" w:cs="Times New Roman"/>
                <w:color w:val="000000"/>
                <w:sz w:val="17"/>
                <w:szCs w:val="17"/>
              </w:rPr>
              <w:t>14.96</w:t>
            </w:r>
          </w:p>
        </w:tc>
        <w:tc>
          <w:tcPr>
            <w:tcW w:w="996" w:type="pct"/>
            <w:tcBorders>
              <w:top w:val="nil"/>
              <w:left w:val="nil"/>
              <w:right w:val="nil"/>
            </w:tcBorders>
            <w:shd w:val="clear" w:color="auto" w:fill="auto"/>
            <w:noWrap/>
            <w:vAlign w:val="center"/>
          </w:tcPr>
          <w:p w14:paraId="6393A7B7" w14:textId="58C38424" w:rsidR="00666717" w:rsidRPr="005654B5" w:rsidRDefault="00666717" w:rsidP="00B86BE9">
            <w:pPr>
              <w:ind w:right="1216"/>
              <w:jc w:val="right"/>
              <w:rPr>
                <w:rFonts w:ascii="dcr10" w:eastAsia="Times New Roman" w:hAnsi="dcr10" w:cs="Times New Roman"/>
                <w:color w:val="000000"/>
                <w:sz w:val="17"/>
                <w:szCs w:val="17"/>
              </w:rPr>
            </w:pPr>
            <w:r>
              <w:rPr>
                <w:rFonts w:ascii="dcr10" w:eastAsia="Times New Roman" w:hAnsi="dcr10" w:cs="Times New Roman"/>
                <w:color w:val="000000"/>
                <w:sz w:val="17"/>
                <w:szCs w:val="17"/>
              </w:rPr>
              <w:t>9.29</w:t>
            </w:r>
          </w:p>
        </w:tc>
      </w:tr>
      <w:tr w:rsidR="00666717" w:rsidRPr="005050C1" w14:paraId="3A4D216E" w14:textId="77777777" w:rsidTr="00B86BE9">
        <w:trPr>
          <w:trHeight w:val="300"/>
          <w:jc w:val="center"/>
        </w:trPr>
        <w:tc>
          <w:tcPr>
            <w:tcW w:w="1834" w:type="pct"/>
            <w:tcBorders>
              <w:left w:val="nil"/>
              <w:bottom w:val="nil"/>
              <w:right w:val="nil"/>
            </w:tcBorders>
            <w:shd w:val="clear" w:color="auto" w:fill="auto"/>
            <w:noWrap/>
            <w:vAlign w:val="center"/>
          </w:tcPr>
          <w:p w14:paraId="3DE1A241" w14:textId="77777777" w:rsidR="00666717" w:rsidRPr="005654B5" w:rsidRDefault="00666717" w:rsidP="00B86BE9">
            <w:pPr>
              <w:rPr>
                <w:rFonts w:ascii="dcr10" w:eastAsia="Times New Roman" w:hAnsi="dcr10" w:cs="Times New Roman"/>
                <w:color w:val="000000"/>
                <w:sz w:val="18"/>
                <w:szCs w:val="18"/>
              </w:rPr>
            </w:pPr>
            <w:r w:rsidRPr="005654B5">
              <w:rPr>
                <w:rFonts w:ascii="dcr10" w:eastAsia="Times New Roman" w:hAnsi="dcr10" w:cs="Times New Roman"/>
                <w:color w:val="000000"/>
                <w:sz w:val="18"/>
                <w:szCs w:val="18"/>
              </w:rPr>
              <w:t xml:space="preserve">Bank volatility – market volatility </w:t>
            </w:r>
          </w:p>
        </w:tc>
        <w:tc>
          <w:tcPr>
            <w:tcW w:w="1082" w:type="pct"/>
            <w:tcBorders>
              <w:left w:val="nil"/>
              <w:bottom w:val="nil"/>
              <w:right w:val="nil"/>
            </w:tcBorders>
            <w:shd w:val="clear" w:color="auto" w:fill="auto"/>
            <w:noWrap/>
            <w:vAlign w:val="center"/>
          </w:tcPr>
          <w:p w14:paraId="141A6B03" w14:textId="15E858DE" w:rsidR="00666717" w:rsidRPr="005654B5" w:rsidRDefault="00666717" w:rsidP="00B86BE9">
            <w:pPr>
              <w:ind w:right="1216"/>
              <w:jc w:val="right"/>
              <w:rPr>
                <w:rFonts w:ascii="dcr10" w:eastAsia="Times New Roman" w:hAnsi="dcr10" w:cs="Times New Roman"/>
                <w:color w:val="000000"/>
                <w:sz w:val="17"/>
                <w:szCs w:val="17"/>
              </w:rPr>
            </w:pPr>
            <w:r>
              <w:rPr>
                <w:rFonts w:ascii="dcr10" w:eastAsia="Times New Roman" w:hAnsi="dcr10" w:cs="Times New Roman"/>
                <w:color w:val="000000"/>
                <w:sz w:val="17"/>
                <w:szCs w:val="17"/>
              </w:rPr>
              <w:t>1.52</w:t>
            </w:r>
          </w:p>
        </w:tc>
        <w:tc>
          <w:tcPr>
            <w:tcW w:w="1088" w:type="pct"/>
            <w:tcBorders>
              <w:left w:val="nil"/>
              <w:bottom w:val="nil"/>
              <w:right w:val="nil"/>
            </w:tcBorders>
            <w:vAlign w:val="center"/>
          </w:tcPr>
          <w:p w14:paraId="54880BEF" w14:textId="40F8D933" w:rsidR="00666717" w:rsidRPr="005654B5" w:rsidRDefault="00666717" w:rsidP="00B86BE9">
            <w:pPr>
              <w:ind w:right="1216"/>
              <w:jc w:val="right"/>
              <w:rPr>
                <w:rFonts w:ascii="dcr10" w:eastAsia="Times New Roman" w:hAnsi="dcr10" w:cs="Times New Roman"/>
                <w:color w:val="000000"/>
                <w:sz w:val="18"/>
                <w:szCs w:val="18"/>
              </w:rPr>
            </w:pPr>
            <w:r>
              <w:rPr>
                <w:rFonts w:ascii="dcr10" w:eastAsia="Times New Roman" w:hAnsi="dcr10" w:cs="Times New Roman"/>
                <w:color w:val="000000"/>
                <w:sz w:val="17"/>
                <w:szCs w:val="17"/>
              </w:rPr>
              <w:t>1.77</w:t>
            </w:r>
          </w:p>
        </w:tc>
        <w:tc>
          <w:tcPr>
            <w:tcW w:w="996" w:type="pct"/>
            <w:tcBorders>
              <w:left w:val="nil"/>
              <w:bottom w:val="nil"/>
              <w:right w:val="nil"/>
            </w:tcBorders>
            <w:shd w:val="clear" w:color="auto" w:fill="auto"/>
            <w:noWrap/>
            <w:vAlign w:val="center"/>
          </w:tcPr>
          <w:p w14:paraId="023EB25C" w14:textId="2E065B82" w:rsidR="00666717" w:rsidRPr="005654B5" w:rsidRDefault="00666717" w:rsidP="00B86BE9">
            <w:pPr>
              <w:ind w:right="1216"/>
              <w:jc w:val="right"/>
              <w:rPr>
                <w:rFonts w:ascii="dcr10" w:eastAsia="Times New Roman" w:hAnsi="dcr10" w:cs="Times New Roman"/>
                <w:color w:val="000000"/>
                <w:sz w:val="17"/>
                <w:szCs w:val="17"/>
              </w:rPr>
            </w:pPr>
            <w:r>
              <w:rPr>
                <w:rFonts w:ascii="dcr10" w:eastAsia="Times New Roman" w:hAnsi="dcr10" w:cs="Times New Roman"/>
                <w:color w:val="000000"/>
                <w:sz w:val="17"/>
                <w:szCs w:val="17"/>
              </w:rPr>
              <w:t>1.67</w:t>
            </w:r>
          </w:p>
        </w:tc>
      </w:tr>
      <w:tr w:rsidR="00666717" w:rsidRPr="005050C1" w14:paraId="2508FA04" w14:textId="77777777" w:rsidTr="00B86BE9">
        <w:trPr>
          <w:trHeight w:val="300"/>
          <w:jc w:val="center"/>
        </w:trPr>
        <w:tc>
          <w:tcPr>
            <w:tcW w:w="1834" w:type="pct"/>
            <w:tcBorders>
              <w:top w:val="nil"/>
              <w:left w:val="nil"/>
              <w:bottom w:val="nil"/>
              <w:right w:val="nil"/>
            </w:tcBorders>
            <w:shd w:val="clear" w:color="auto" w:fill="auto"/>
            <w:noWrap/>
            <w:vAlign w:val="center"/>
          </w:tcPr>
          <w:p w14:paraId="3C0840AC" w14:textId="77777777" w:rsidR="00666717" w:rsidRPr="005654B5" w:rsidRDefault="00666717" w:rsidP="00B86BE9">
            <w:pPr>
              <w:rPr>
                <w:rFonts w:ascii="dcr10" w:eastAsia="Times New Roman" w:hAnsi="dcr10" w:cs="Times New Roman"/>
                <w:color w:val="000000"/>
                <w:sz w:val="18"/>
                <w:szCs w:val="18"/>
              </w:rPr>
            </w:pPr>
            <w:r w:rsidRPr="005654B5">
              <w:rPr>
                <w:rFonts w:ascii="dcr10" w:eastAsia="Times New Roman" w:hAnsi="dcr10" w:cs="Times New Roman"/>
                <w:color w:val="000000"/>
                <w:sz w:val="18"/>
                <w:szCs w:val="18"/>
              </w:rPr>
              <w:t>Implied volatility</w:t>
            </w:r>
          </w:p>
        </w:tc>
        <w:tc>
          <w:tcPr>
            <w:tcW w:w="1082" w:type="pct"/>
            <w:tcBorders>
              <w:top w:val="nil"/>
              <w:left w:val="nil"/>
              <w:bottom w:val="nil"/>
              <w:right w:val="nil"/>
            </w:tcBorders>
            <w:shd w:val="clear" w:color="auto" w:fill="auto"/>
            <w:noWrap/>
            <w:vAlign w:val="center"/>
          </w:tcPr>
          <w:p w14:paraId="23A5CA72" w14:textId="30D77A5C" w:rsidR="00666717" w:rsidRPr="005654B5" w:rsidRDefault="00666717" w:rsidP="00B86BE9">
            <w:pPr>
              <w:ind w:right="1216"/>
              <w:jc w:val="right"/>
              <w:rPr>
                <w:rFonts w:ascii="dcr10" w:eastAsia="Times New Roman" w:hAnsi="dcr10" w:cs="Times New Roman"/>
                <w:color w:val="000000"/>
                <w:sz w:val="17"/>
                <w:szCs w:val="17"/>
              </w:rPr>
            </w:pPr>
            <w:r>
              <w:rPr>
                <w:rFonts w:ascii="dcr10" w:eastAsia="Times New Roman" w:hAnsi="dcr10" w:cs="Times New Roman"/>
                <w:color w:val="000000"/>
                <w:sz w:val="17"/>
                <w:szCs w:val="17"/>
              </w:rPr>
              <w:t>21.70</w:t>
            </w:r>
          </w:p>
        </w:tc>
        <w:tc>
          <w:tcPr>
            <w:tcW w:w="1088" w:type="pct"/>
            <w:tcBorders>
              <w:top w:val="nil"/>
              <w:left w:val="nil"/>
              <w:bottom w:val="nil"/>
              <w:right w:val="nil"/>
            </w:tcBorders>
            <w:vAlign w:val="center"/>
          </w:tcPr>
          <w:p w14:paraId="2A544797" w14:textId="2075FC33" w:rsidR="00666717" w:rsidRPr="005654B5" w:rsidRDefault="00666717" w:rsidP="00B86BE9">
            <w:pPr>
              <w:ind w:right="1216"/>
              <w:jc w:val="right"/>
              <w:rPr>
                <w:rFonts w:ascii="dcr10" w:eastAsia="Times New Roman" w:hAnsi="dcr10" w:cs="Times New Roman"/>
                <w:color w:val="000000"/>
                <w:sz w:val="18"/>
                <w:szCs w:val="18"/>
              </w:rPr>
            </w:pPr>
            <w:r>
              <w:rPr>
                <w:rFonts w:ascii="dcr10" w:eastAsia="Times New Roman" w:hAnsi="dcr10" w:cs="Times New Roman"/>
                <w:color w:val="000000"/>
                <w:sz w:val="17"/>
                <w:szCs w:val="17"/>
              </w:rPr>
              <w:t>32.17</w:t>
            </w:r>
          </w:p>
        </w:tc>
        <w:tc>
          <w:tcPr>
            <w:tcW w:w="996" w:type="pct"/>
            <w:tcBorders>
              <w:top w:val="nil"/>
              <w:left w:val="nil"/>
              <w:bottom w:val="nil"/>
              <w:right w:val="nil"/>
            </w:tcBorders>
            <w:shd w:val="clear" w:color="auto" w:fill="auto"/>
            <w:noWrap/>
            <w:vAlign w:val="center"/>
          </w:tcPr>
          <w:p w14:paraId="7E4B2CF7" w14:textId="785CD717" w:rsidR="00666717" w:rsidRPr="005654B5" w:rsidRDefault="00666717" w:rsidP="00B86BE9">
            <w:pPr>
              <w:ind w:right="1216"/>
              <w:jc w:val="right"/>
              <w:rPr>
                <w:rFonts w:ascii="dcr10" w:eastAsia="Times New Roman" w:hAnsi="dcr10" w:cs="Times New Roman"/>
                <w:color w:val="000000"/>
                <w:sz w:val="17"/>
                <w:szCs w:val="17"/>
              </w:rPr>
            </w:pPr>
            <w:r>
              <w:rPr>
                <w:rFonts w:ascii="dcr10" w:eastAsia="Times New Roman" w:hAnsi="dcr10" w:cs="Times New Roman"/>
                <w:color w:val="000000"/>
                <w:sz w:val="17"/>
                <w:szCs w:val="17"/>
              </w:rPr>
              <w:t>23.45</w:t>
            </w:r>
          </w:p>
        </w:tc>
      </w:tr>
      <w:tr w:rsidR="00666717" w:rsidRPr="005050C1" w14:paraId="0E87C3A9" w14:textId="77777777" w:rsidTr="00B86BE9">
        <w:trPr>
          <w:trHeight w:val="300"/>
          <w:jc w:val="center"/>
        </w:trPr>
        <w:tc>
          <w:tcPr>
            <w:tcW w:w="1834" w:type="pct"/>
            <w:tcBorders>
              <w:top w:val="nil"/>
              <w:left w:val="nil"/>
              <w:bottom w:val="nil"/>
              <w:right w:val="nil"/>
            </w:tcBorders>
            <w:shd w:val="clear" w:color="auto" w:fill="auto"/>
            <w:noWrap/>
            <w:vAlign w:val="center"/>
          </w:tcPr>
          <w:p w14:paraId="646C2FB6" w14:textId="77777777" w:rsidR="00666717" w:rsidRPr="005654B5" w:rsidRDefault="00666717" w:rsidP="00B86BE9">
            <w:pPr>
              <w:rPr>
                <w:rFonts w:ascii="dcr10" w:eastAsia="Times New Roman" w:hAnsi="dcr10" w:cs="Times New Roman"/>
                <w:color w:val="000000"/>
                <w:sz w:val="18"/>
                <w:szCs w:val="18"/>
              </w:rPr>
            </w:pPr>
            <w:r w:rsidRPr="005654B5">
              <w:rPr>
                <w:rFonts w:ascii="dcr10" w:eastAsia="Times New Roman" w:hAnsi="dcr10" w:cs="Times New Roman"/>
                <w:color w:val="000000"/>
                <w:sz w:val="18"/>
                <w:szCs w:val="18"/>
              </w:rPr>
              <w:t xml:space="preserve">Implied bank volatility/market implied </w:t>
            </w:r>
          </w:p>
        </w:tc>
        <w:tc>
          <w:tcPr>
            <w:tcW w:w="1082" w:type="pct"/>
            <w:tcBorders>
              <w:top w:val="nil"/>
              <w:left w:val="nil"/>
              <w:bottom w:val="nil"/>
              <w:right w:val="nil"/>
            </w:tcBorders>
            <w:shd w:val="clear" w:color="auto" w:fill="auto"/>
            <w:noWrap/>
            <w:vAlign w:val="center"/>
          </w:tcPr>
          <w:p w14:paraId="256F452A" w14:textId="5B4847BF" w:rsidR="00666717" w:rsidRPr="005654B5" w:rsidRDefault="00666717" w:rsidP="00B86BE9">
            <w:pPr>
              <w:ind w:right="1216"/>
              <w:jc w:val="right"/>
              <w:rPr>
                <w:rFonts w:ascii="dcr10" w:eastAsia="Times New Roman" w:hAnsi="dcr10" w:cs="Times New Roman"/>
                <w:color w:val="000000"/>
                <w:sz w:val="17"/>
                <w:szCs w:val="17"/>
              </w:rPr>
            </w:pPr>
            <w:r>
              <w:rPr>
                <w:rFonts w:ascii="dcr10" w:eastAsia="Times New Roman" w:hAnsi="dcr10" w:cs="Times New Roman"/>
                <w:color w:val="000000"/>
                <w:sz w:val="17"/>
                <w:szCs w:val="17"/>
              </w:rPr>
              <w:t>5.67</w:t>
            </w:r>
          </w:p>
        </w:tc>
        <w:tc>
          <w:tcPr>
            <w:tcW w:w="1088" w:type="pct"/>
            <w:tcBorders>
              <w:top w:val="nil"/>
              <w:left w:val="nil"/>
              <w:bottom w:val="nil"/>
              <w:right w:val="nil"/>
            </w:tcBorders>
            <w:vAlign w:val="center"/>
          </w:tcPr>
          <w:p w14:paraId="38BD3340" w14:textId="152C69A3" w:rsidR="00666717" w:rsidRPr="005654B5" w:rsidRDefault="00666717" w:rsidP="00B86BE9">
            <w:pPr>
              <w:ind w:right="1216"/>
              <w:jc w:val="right"/>
              <w:rPr>
                <w:rFonts w:ascii="dcr10" w:eastAsia="Times New Roman" w:hAnsi="dcr10" w:cs="Times New Roman"/>
                <w:color w:val="000000"/>
                <w:sz w:val="18"/>
                <w:szCs w:val="18"/>
              </w:rPr>
            </w:pPr>
            <w:r>
              <w:rPr>
                <w:rFonts w:ascii="dcr10" w:eastAsia="Times New Roman" w:hAnsi="dcr10" w:cs="Times New Roman"/>
                <w:color w:val="000000"/>
                <w:sz w:val="17"/>
                <w:szCs w:val="17"/>
              </w:rPr>
              <w:t>11.12</w:t>
            </w:r>
          </w:p>
        </w:tc>
        <w:tc>
          <w:tcPr>
            <w:tcW w:w="996" w:type="pct"/>
            <w:tcBorders>
              <w:top w:val="nil"/>
              <w:left w:val="nil"/>
              <w:bottom w:val="nil"/>
              <w:right w:val="nil"/>
            </w:tcBorders>
            <w:shd w:val="clear" w:color="auto" w:fill="auto"/>
            <w:noWrap/>
            <w:vAlign w:val="center"/>
          </w:tcPr>
          <w:p w14:paraId="4D63F3AB" w14:textId="553A3D9C" w:rsidR="00666717" w:rsidRPr="005654B5" w:rsidRDefault="00666717" w:rsidP="00B86BE9">
            <w:pPr>
              <w:ind w:right="1216"/>
              <w:jc w:val="right"/>
              <w:rPr>
                <w:rFonts w:ascii="dcr10" w:eastAsia="Times New Roman" w:hAnsi="dcr10" w:cs="Times New Roman"/>
                <w:color w:val="000000"/>
                <w:sz w:val="17"/>
                <w:szCs w:val="17"/>
              </w:rPr>
            </w:pPr>
            <w:r>
              <w:rPr>
                <w:rFonts w:ascii="dcr10" w:eastAsia="Times New Roman" w:hAnsi="dcr10" w:cs="Times New Roman"/>
                <w:color w:val="000000"/>
                <w:sz w:val="17"/>
                <w:szCs w:val="17"/>
              </w:rPr>
              <w:t>6.91</w:t>
            </w:r>
          </w:p>
        </w:tc>
      </w:tr>
      <w:tr w:rsidR="00666717" w:rsidRPr="005050C1" w14:paraId="4E53A961" w14:textId="77777777" w:rsidTr="00B86BE9">
        <w:trPr>
          <w:trHeight w:val="300"/>
          <w:jc w:val="center"/>
        </w:trPr>
        <w:tc>
          <w:tcPr>
            <w:tcW w:w="1834" w:type="pct"/>
            <w:tcBorders>
              <w:top w:val="nil"/>
              <w:left w:val="nil"/>
              <w:right w:val="nil"/>
            </w:tcBorders>
            <w:shd w:val="clear" w:color="auto" w:fill="auto"/>
            <w:noWrap/>
            <w:vAlign w:val="center"/>
          </w:tcPr>
          <w:p w14:paraId="0969EA63" w14:textId="77777777" w:rsidR="00666717" w:rsidRPr="005654B5" w:rsidRDefault="00666717" w:rsidP="00B86BE9">
            <w:pPr>
              <w:rPr>
                <w:rFonts w:ascii="dcr10" w:eastAsia="Times New Roman" w:hAnsi="dcr10" w:cs="Times New Roman"/>
                <w:color w:val="000000"/>
                <w:sz w:val="18"/>
                <w:szCs w:val="18"/>
              </w:rPr>
            </w:pPr>
            <w:r w:rsidRPr="005654B5">
              <w:rPr>
                <w:rFonts w:ascii="dcr10" w:eastAsia="Times New Roman" w:hAnsi="dcr10" w:cs="Times New Roman"/>
                <w:color w:val="000000"/>
                <w:sz w:val="18"/>
                <w:szCs w:val="18"/>
              </w:rPr>
              <w:t xml:space="preserve">Implied bank volatility – market implied </w:t>
            </w:r>
          </w:p>
        </w:tc>
        <w:tc>
          <w:tcPr>
            <w:tcW w:w="1082" w:type="pct"/>
            <w:tcBorders>
              <w:top w:val="nil"/>
              <w:left w:val="nil"/>
              <w:right w:val="nil"/>
            </w:tcBorders>
            <w:shd w:val="clear" w:color="auto" w:fill="auto"/>
            <w:noWrap/>
            <w:vAlign w:val="center"/>
          </w:tcPr>
          <w:p w14:paraId="3F519016" w14:textId="21BA5D15" w:rsidR="00666717" w:rsidRPr="005654B5" w:rsidRDefault="00666717" w:rsidP="00B86BE9">
            <w:pPr>
              <w:ind w:right="1216"/>
              <w:jc w:val="right"/>
              <w:rPr>
                <w:rFonts w:ascii="dcr10" w:eastAsia="Times New Roman" w:hAnsi="dcr10" w:cs="Times New Roman"/>
                <w:color w:val="000000"/>
                <w:sz w:val="17"/>
                <w:szCs w:val="17"/>
              </w:rPr>
            </w:pPr>
            <w:r>
              <w:rPr>
                <w:rFonts w:ascii="dcr10" w:eastAsia="Times New Roman" w:hAnsi="dcr10" w:cs="Times New Roman"/>
                <w:color w:val="000000"/>
                <w:sz w:val="17"/>
                <w:szCs w:val="17"/>
              </w:rPr>
              <w:t>1.37</w:t>
            </w:r>
          </w:p>
        </w:tc>
        <w:tc>
          <w:tcPr>
            <w:tcW w:w="1088" w:type="pct"/>
            <w:tcBorders>
              <w:top w:val="nil"/>
              <w:left w:val="nil"/>
              <w:right w:val="nil"/>
            </w:tcBorders>
            <w:vAlign w:val="center"/>
          </w:tcPr>
          <w:p w14:paraId="371177B5" w14:textId="3D28CD8E" w:rsidR="00666717" w:rsidRPr="005654B5" w:rsidRDefault="00666717" w:rsidP="00B86BE9">
            <w:pPr>
              <w:ind w:right="1216"/>
              <w:jc w:val="right"/>
              <w:rPr>
                <w:rFonts w:ascii="dcr10" w:eastAsia="Times New Roman" w:hAnsi="dcr10" w:cs="Times New Roman"/>
                <w:color w:val="000000"/>
                <w:sz w:val="18"/>
                <w:szCs w:val="18"/>
              </w:rPr>
            </w:pPr>
            <w:r>
              <w:rPr>
                <w:rFonts w:ascii="dcr10" w:eastAsia="Times New Roman" w:hAnsi="dcr10" w:cs="Times New Roman"/>
                <w:color w:val="000000"/>
                <w:sz w:val="17"/>
                <w:szCs w:val="17"/>
              </w:rPr>
              <w:t>1.53</w:t>
            </w:r>
          </w:p>
        </w:tc>
        <w:tc>
          <w:tcPr>
            <w:tcW w:w="996" w:type="pct"/>
            <w:tcBorders>
              <w:top w:val="nil"/>
              <w:left w:val="nil"/>
              <w:right w:val="nil"/>
            </w:tcBorders>
            <w:shd w:val="clear" w:color="auto" w:fill="auto"/>
            <w:noWrap/>
            <w:vAlign w:val="center"/>
          </w:tcPr>
          <w:p w14:paraId="342A1AD2" w14:textId="461B3994" w:rsidR="00666717" w:rsidRPr="005654B5" w:rsidRDefault="00666717" w:rsidP="00B86BE9">
            <w:pPr>
              <w:ind w:right="1216"/>
              <w:jc w:val="right"/>
              <w:rPr>
                <w:rFonts w:ascii="dcr10" w:eastAsia="Times New Roman" w:hAnsi="dcr10" w:cs="Times New Roman"/>
                <w:color w:val="000000"/>
                <w:sz w:val="17"/>
                <w:szCs w:val="17"/>
              </w:rPr>
            </w:pPr>
            <w:r>
              <w:rPr>
                <w:rFonts w:ascii="dcr10" w:eastAsia="Times New Roman" w:hAnsi="dcr10" w:cs="Times New Roman"/>
                <w:color w:val="000000"/>
                <w:sz w:val="17"/>
                <w:szCs w:val="17"/>
              </w:rPr>
              <w:t>1.44</w:t>
            </w:r>
          </w:p>
        </w:tc>
      </w:tr>
      <w:tr w:rsidR="00666717" w:rsidRPr="00A40B98" w14:paraId="1DC375F5" w14:textId="77777777" w:rsidTr="00B86BE9">
        <w:trPr>
          <w:trHeight w:val="300"/>
          <w:jc w:val="center"/>
        </w:trPr>
        <w:tc>
          <w:tcPr>
            <w:tcW w:w="1834" w:type="pct"/>
            <w:tcBorders>
              <w:top w:val="nil"/>
              <w:left w:val="nil"/>
              <w:right w:val="nil"/>
            </w:tcBorders>
            <w:shd w:val="clear" w:color="auto" w:fill="auto"/>
            <w:noWrap/>
            <w:vAlign w:val="center"/>
          </w:tcPr>
          <w:p w14:paraId="7A95C5D4" w14:textId="77777777" w:rsidR="00666717" w:rsidRPr="005654B5" w:rsidRDefault="00666717" w:rsidP="00B86BE9">
            <w:pPr>
              <w:rPr>
                <w:rFonts w:ascii="dcr10" w:eastAsia="Times New Roman" w:hAnsi="dcr10" w:cs="Times New Roman"/>
                <w:color w:val="000000"/>
                <w:sz w:val="18"/>
                <w:szCs w:val="18"/>
              </w:rPr>
            </w:pPr>
            <w:r w:rsidRPr="005654B5">
              <w:rPr>
                <w:rFonts w:ascii="dcr10" w:eastAsia="Times New Roman" w:hAnsi="dcr10" w:cs="Times New Roman"/>
                <w:color w:val="000000"/>
                <w:sz w:val="18"/>
                <w:szCs w:val="18"/>
              </w:rPr>
              <w:t>CDS spread</w:t>
            </w:r>
            <w:r w:rsidRPr="005654B5">
              <w:rPr>
                <w:rFonts w:ascii="dcr10" w:eastAsia="Times New Roman" w:hAnsi="dcr10" w:cs="Times New Roman"/>
                <w:color w:val="000000"/>
                <w:sz w:val="18"/>
                <w:szCs w:val="18"/>
                <w:vertAlign w:val="superscript"/>
              </w:rPr>
              <w:t>+++</w:t>
            </w:r>
          </w:p>
        </w:tc>
        <w:tc>
          <w:tcPr>
            <w:tcW w:w="1082" w:type="pct"/>
            <w:tcBorders>
              <w:top w:val="nil"/>
              <w:left w:val="nil"/>
              <w:right w:val="nil"/>
            </w:tcBorders>
            <w:shd w:val="clear" w:color="auto" w:fill="auto"/>
            <w:noWrap/>
            <w:vAlign w:val="center"/>
          </w:tcPr>
          <w:p w14:paraId="5ED33CD1" w14:textId="407A66AB" w:rsidR="00666717" w:rsidRPr="005654B5" w:rsidRDefault="00666717" w:rsidP="00B86BE9">
            <w:pPr>
              <w:ind w:right="1216"/>
              <w:jc w:val="right"/>
              <w:rPr>
                <w:rFonts w:ascii="dcr10" w:eastAsia="Times New Roman" w:hAnsi="dcr10" w:cs="Times New Roman"/>
                <w:color w:val="000000"/>
                <w:sz w:val="17"/>
                <w:szCs w:val="17"/>
              </w:rPr>
            </w:pPr>
            <w:r>
              <w:rPr>
                <w:rFonts w:ascii="dcr10" w:eastAsia="Times New Roman" w:hAnsi="dcr10" w:cs="Times New Roman"/>
                <w:color w:val="000000"/>
                <w:sz w:val="17"/>
                <w:szCs w:val="17"/>
              </w:rPr>
              <w:t>9.63</w:t>
            </w:r>
          </w:p>
        </w:tc>
        <w:tc>
          <w:tcPr>
            <w:tcW w:w="1088" w:type="pct"/>
            <w:tcBorders>
              <w:top w:val="nil"/>
              <w:left w:val="nil"/>
              <w:right w:val="nil"/>
            </w:tcBorders>
            <w:vAlign w:val="center"/>
          </w:tcPr>
          <w:p w14:paraId="68D0FFDB" w14:textId="20074B0C" w:rsidR="00666717" w:rsidRPr="005654B5" w:rsidRDefault="00666717" w:rsidP="00B86BE9">
            <w:pPr>
              <w:ind w:right="1216"/>
              <w:jc w:val="right"/>
              <w:rPr>
                <w:rFonts w:ascii="dcr10" w:eastAsia="Times New Roman" w:hAnsi="dcr10" w:cs="Times New Roman"/>
                <w:color w:val="000000"/>
                <w:sz w:val="18"/>
                <w:szCs w:val="18"/>
              </w:rPr>
            </w:pPr>
            <w:r>
              <w:rPr>
                <w:rFonts w:ascii="dcr10" w:eastAsia="Times New Roman" w:hAnsi="dcr10" w:cs="Times New Roman"/>
                <w:color w:val="000000"/>
                <w:sz w:val="17"/>
                <w:szCs w:val="17"/>
              </w:rPr>
              <w:t>111.76</w:t>
            </w:r>
          </w:p>
        </w:tc>
        <w:tc>
          <w:tcPr>
            <w:tcW w:w="996" w:type="pct"/>
            <w:tcBorders>
              <w:top w:val="nil"/>
              <w:left w:val="nil"/>
              <w:right w:val="nil"/>
            </w:tcBorders>
            <w:shd w:val="clear" w:color="auto" w:fill="auto"/>
            <w:noWrap/>
            <w:vAlign w:val="center"/>
          </w:tcPr>
          <w:p w14:paraId="34F45DE9" w14:textId="561CEF51" w:rsidR="00666717" w:rsidRPr="005654B5" w:rsidRDefault="00666717" w:rsidP="00B86BE9">
            <w:pPr>
              <w:ind w:right="1216"/>
              <w:jc w:val="right"/>
              <w:rPr>
                <w:rFonts w:ascii="dcr10" w:eastAsia="Times New Roman" w:hAnsi="dcr10" w:cs="Times New Roman"/>
                <w:color w:val="000000"/>
                <w:sz w:val="17"/>
                <w:szCs w:val="17"/>
              </w:rPr>
            </w:pPr>
            <w:r>
              <w:rPr>
                <w:rFonts w:ascii="dcr10" w:eastAsia="Times New Roman" w:hAnsi="dcr10" w:cs="Times New Roman"/>
                <w:color w:val="000000"/>
                <w:sz w:val="17"/>
                <w:szCs w:val="17"/>
              </w:rPr>
              <w:t>82.43</w:t>
            </w:r>
          </w:p>
        </w:tc>
      </w:tr>
      <w:tr w:rsidR="00666717" w:rsidRPr="00A40B98" w14:paraId="4E6D5A12" w14:textId="77777777" w:rsidTr="00B86BE9">
        <w:trPr>
          <w:trHeight w:val="300"/>
          <w:jc w:val="center"/>
        </w:trPr>
        <w:tc>
          <w:tcPr>
            <w:tcW w:w="1834" w:type="pct"/>
            <w:tcBorders>
              <w:top w:val="nil"/>
              <w:left w:val="nil"/>
              <w:bottom w:val="single" w:sz="4" w:space="0" w:color="auto"/>
              <w:right w:val="nil"/>
            </w:tcBorders>
            <w:shd w:val="clear" w:color="auto" w:fill="auto"/>
            <w:noWrap/>
            <w:vAlign w:val="center"/>
          </w:tcPr>
          <w:p w14:paraId="6E910853" w14:textId="0A2B72A4" w:rsidR="00666717" w:rsidRPr="005654B5" w:rsidRDefault="00666717" w:rsidP="00B86BE9">
            <w:pPr>
              <w:rPr>
                <w:rFonts w:ascii="dcr10" w:eastAsia="Times New Roman" w:hAnsi="dcr10" w:cs="Times New Roman"/>
                <w:color w:val="000000"/>
                <w:sz w:val="18"/>
                <w:szCs w:val="18"/>
              </w:rPr>
            </w:pPr>
            <w:r w:rsidRPr="005654B5">
              <w:rPr>
                <w:rFonts w:ascii="dcr10" w:eastAsia="Times New Roman" w:hAnsi="dcr10" w:cs="Times New Roman"/>
                <w:color w:val="000000"/>
                <w:sz w:val="18"/>
                <w:szCs w:val="18"/>
              </w:rPr>
              <w:t>Price to Book Ratio</w:t>
            </w:r>
            <w:r w:rsidRPr="005654B5">
              <w:rPr>
                <w:rFonts w:ascii="dcr10" w:eastAsia="Times New Roman" w:hAnsi="dcr10" w:cs="Times New Roman"/>
                <w:color w:val="000000"/>
                <w:sz w:val="18"/>
                <w:szCs w:val="18"/>
                <w:vertAlign w:val="superscript"/>
              </w:rPr>
              <w:t>+++</w:t>
            </w:r>
            <w:proofErr w:type="gramStart"/>
            <w:r w:rsidRPr="005654B5">
              <w:rPr>
                <w:rFonts w:ascii="dcr10" w:eastAsia="Times New Roman" w:hAnsi="dcr10" w:cs="Times New Roman"/>
                <w:color w:val="000000"/>
                <w:sz w:val="18"/>
                <w:szCs w:val="18"/>
                <w:vertAlign w:val="superscript"/>
              </w:rPr>
              <w:t>+</w:t>
            </w:r>
            <w:r w:rsidRPr="005654B5">
              <w:rPr>
                <w:rFonts w:ascii="dcr10" w:eastAsia="Times New Roman" w:hAnsi="dcr10" w:cs="Times New Roman"/>
                <w:color w:val="000000"/>
                <w:sz w:val="18"/>
                <w:szCs w:val="18"/>
              </w:rPr>
              <w:t xml:space="preserve">  </w:t>
            </w:r>
            <w:proofErr w:type="gramEnd"/>
          </w:p>
        </w:tc>
        <w:tc>
          <w:tcPr>
            <w:tcW w:w="1082" w:type="pct"/>
            <w:tcBorders>
              <w:top w:val="nil"/>
              <w:left w:val="nil"/>
              <w:bottom w:val="single" w:sz="4" w:space="0" w:color="auto"/>
              <w:right w:val="nil"/>
            </w:tcBorders>
            <w:shd w:val="clear" w:color="auto" w:fill="auto"/>
            <w:noWrap/>
            <w:vAlign w:val="center"/>
          </w:tcPr>
          <w:p w14:paraId="4CF94D91" w14:textId="45AC387D" w:rsidR="00666717" w:rsidRPr="005654B5" w:rsidRDefault="00666717" w:rsidP="00B86BE9">
            <w:pPr>
              <w:ind w:right="1216"/>
              <w:jc w:val="right"/>
              <w:rPr>
                <w:rFonts w:ascii="dcr10" w:eastAsia="Times New Roman" w:hAnsi="dcr10" w:cs="Times New Roman"/>
                <w:color w:val="000000"/>
                <w:sz w:val="17"/>
                <w:szCs w:val="17"/>
              </w:rPr>
            </w:pPr>
            <w:r>
              <w:rPr>
                <w:rFonts w:ascii="dcr10" w:eastAsia="Times New Roman" w:hAnsi="dcr10" w:cs="Times New Roman"/>
                <w:color w:val="000000"/>
                <w:sz w:val="17"/>
                <w:szCs w:val="17"/>
              </w:rPr>
              <w:t>1.91</w:t>
            </w:r>
          </w:p>
        </w:tc>
        <w:tc>
          <w:tcPr>
            <w:tcW w:w="1088" w:type="pct"/>
            <w:tcBorders>
              <w:top w:val="nil"/>
              <w:left w:val="nil"/>
              <w:bottom w:val="single" w:sz="4" w:space="0" w:color="auto"/>
              <w:right w:val="nil"/>
            </w:tcBorders>
            <w:vAlign w:val="center"/>
          </w:tcPr>
          <w:p w14:paraId="13217F6E" w14:textId="1460DE09" w:rsidR="00666717" w:rsidRPr="005654B5" w:rsidRDefault="00666717" w:rsidP="00B86BE9">
            <w:pPr>
              <w:ind w:right="1216"/>
              <w:jc w:val="right"/>
              <w:rPr>
                <w:rFonts w:ascii="dcr10" w:eastAsia="Times New Roman" w:hAnsi="dcr10" w:cs="Times New Roman"/>
                <w:color w:val="000000"/>
                <w:sz w:val="18"/>
                <w:szCs w:val="18"/>
              </w:rPr>
            </w:pPr>
            <w:r>
              <w:rPr>
                <w:rFonts w:ascii="dcr10" w:eastAsia="Times New Roman" w:hAnsi="dcr10" w:cs="Times New Roman"/>
                <w:color w:val="000000"/>
                <w:sz w:val="17"/>
                <w:szCs w:val="17"/>
              </w:rPr>
              <w:t>1.05</w:t>
            </w:r>
          </w:p>
        </w:tc>
        <w:tc>
          <w:tcPr>
            <w:tcW w:w="996" w:type="pct"/>
            <w:tcBorders>
              <w:top w:val="nil"/>
              <w:left w:val="nil"/>
              <w:bottom w:val="single" w:sz="4" w:space="0" w:color="auto"/>
              <w:right w:val="nil"/>
            </w:tcBorders>
            <w:shd w:val="clear" w:color="auto" w:fill="auto"/>
            <w:noWrap/>
            <w:vAlign w:val="center"/>
          </w:tcPr>
          <w:p w14:paraId="07226AF1" w14:textId="71B00036" w:rsidR="00666717" w:rsidRPr="005654B5" w:rsidRDefault="00666717" w:rsidP="00B86BE9">
            <w:pPr>
              <w:ind w:right="1216"/>
              <w:jc w:val="right"/>
              <w:rPr>
                <w:rFonts w:ascii="dcr10" w:eastAsia="Times New Roman" w:hAnsi="dcr10" w:cs="Times New Roman"/>
                <w:color w:val="000000"/>
                <w:sz w:val="17"/>
                <w:szCs w:val="17"/>
              </w:rPr>
            </w:pPr>
            <w:r>
              <w:rPr>
                <w:rFonts w:ascii="dcr10" w:eastAsia="Times New Roman" w:hAnsi="dcr10" w:cs="Times New Roman"/>
                <w:color w:val="000000"/>
                <w:sz w:val="17"/>
                <w:szCs w:val="17"/>
              </w:rPr>
              <w:t>1.12</w:t>
            </w:r>
          </w:p>
        </w:tc>
      </w:tr>
      <w:tr w:rsidR="00B86BE9" w:rsidRPr="00A40B98" w14:paraId="0CD987B2" w14:textId="77777777" w:rsidTr="00B86BE9">
        <w:trPr>
          <w:trHeight w:val="300"/>
          <w:jc w:val="center"/>
        </w:trPr>
        <w:tc>
          <w:tcPr>
            <w:tcW w:w="1834" w:type="pct"/>
            <w:tcBorders>
              <w:top w:val="nil"/>
              <w:left w:val="nil"/>
              <w:right w:val="nil"/>
            </w:tcBorders>
            <w:shd w:val="clear" w:color="auto" w:fill="auto"/>
            <w:noWrap/>
            <w:vAlign w:val="center"/>
          </w:tcPr>
          <w:p w14:paraId="5425390F" w14:textId="057A2CA7" w:rsidR="00B86BE9" w:rsidRPr="005654B5" w:rsidRDefault="00B86BE9" w:rsidP="00B86BE9">
            <w:pPr>
              <w:rPr>
                <w:rFonts w:ascii="dcr10" w:eastAsia="Times New Roman" w:hAnsi="dcr10" w:cs="Times New Roman"/>
                <w:color w:val="000000"/>
                <w:sz w:val="18"/>
                <w:szCs w:val="18"/>
              </w:rPr>
            </w:pPr>
          </w:p>
        </w:tc>
        <w:tc>
          <w:tcPr>
            <w:tcW w:w="1082" w:type="pct"/>
            <w:tcBorders>
              <w:top w:val="nil"/>
              <w:left w:val="nil"/>
              <w:right w:val="nil"/>
            </w:tcBorders>
            <w:shd w:val="clear" w:color="auto" w:fill="auto"/>
            <w:noWrap/>
            <w:vAlign w:val="center"/>
          </w:tcPr>
          <w:p w14:paraId="330ACA18" w14:textId="758EE1D2" w:rsidR="00B86BE9" w:rsidRPr="005654B5" w:rsidRDefault="00B86BE9" w:rsidP="00B86BE9">
            <w:pPr>
              <w:ind w:right="1216"/>
              <w:jc w:val="right"/>
              <w:rPr>
                <w:rFonts w:ascii="dcr10" w:eastAsia="Times New Roman" w:hAnsi="dcr10" w:cs="Times New Roman"/>
                <w:color w:val="000000"/>
                <w:sz w:val="17"/>
                <w:szCs w:val="17"/>
              </w:rPr>
            </w:pPr>
          </w:p>
        </w:tc>
        <w:tc>
          <w:tcPr>
            <w:tcW w:w="1088" w:type="pct"/>
            <w:tcBorders>
              <w:top w:val="nil"/>
              <w:left w:val="nil"/>
              <w:right w:val="nil"/>
            </w:tcBorders>
            <w:vAlign w:val="center"/>
          </w:tcPr>
          <w:p w14:paraId="3FF7C5CC" w14:textId="5B58B7C5" w:rsidR="00B86BE9" w:rsidRPr="005654B5" w:rsidRDefault="00B86BE9" w:rsidP="00B86BE9">
            <w:pPr>
              <w:ind w:right="1216"/>
              <w:jc w:val="right"/>
              <w:rPr>
                <w:rFonts w:ascii="dcr10" w:eastAsia="Times New Roman" w:hAnsi="dcr10" w:cs="Times New Roman"/>
                <w:color w:val="000000"/>
                <w:sz w:val="18"/>
                <w:szCs w:val="18"/>
              </w:rPr>
            </w:pPr>
          </w:p>
        </w:tc>
        <w:tc>
          <w:tcPr>
            <w:tcW w:w="996" w:type="pct"/>
            <w:tcBorders>
              <w:top w:val="nil"/>
              <w:left w:val="nil"/>
              <w:right w:val="nil"/>
            </w:tcBorders>
            <w:shd w:val="clear" w:color="auto" w:fill="auto"/>
            <w:noWrap/>
            <w:vAlign w:val="center"/>
          </w:tcPr>
          <w:p w14:paraId="1F6BFD1A" w14:textId="51739CF1" w:rsidR="00B86BE9" w:rsidRPr="005654B5" w:rsidRDefault="00B86BE9" w:rsidP="00B86BE9">
            <w:pPr>
              <w:ind w:right="1216"/>
              <w:jc w:val="right"/>
              <w:rPr>
                <w:rFonts w:ascii="dcr10" w:eastAsia="Times New Roman" w:hAnsi="dcr10" w:cs="Times New Roman"/>
                <w:color w:val="000000"/>
                <w:sz w:val="17"/>
                <w:szCs w:val="17"/>
              </w:rPr>
            </w:pPr>
          </w:p>
        </w:tc>
      </w:tr>
    </w:tbl>
    <w:p w14:paraId="3B7A4443" w14:textId="77777777" w:rsidR="005978A5" w:rsidRDefault="005978A5" w:rsidP="005978A5">
      <w:pPr>
        <w:rPr>
          <w:rFonts w:ascii="dcr10" w:hAnsi="dcr10"/>
          <w:b/>
        </w:rPr>
      </w:pPr>
    </w:p>
    <w:p w14:paraId="5C998CCA" w14:textId="4AE72C66" w:rsidR="005978A5" w:rsidRPr="005978A5" w:rsidRDefault="005978A5" w:rsidP="005978A5">
      <w:pPr>
        <w:rPr>
          <w:rFonts w:ascii="dcr10" w:hAnsi="dcr10"/>
          <w:sz w:val="22"/>
          <w:szCs w:val="22"/>
        </w:rPr>
      </w:pPr>
      <w:r w:rsidRPr="005978A5">
        <w:rPr>
          <w:rFonts w:ascii="dcr10" w:eastAsia="Times New Roman" w:hAnsi="dcr10" w:cs="Times New Roman"/>
          <w:color w:val="000000"/>
          <w:sz w:val="22"/>
          <w:szCs w:val="22"/>
          <w:vertAlign w:val="superscript"/>
        </w:rPr>
        <w:t xml:space="preserve">+ </w:t>
      </w:r>
      <w:r w:rsidRPr="005978A5">
        <w:rPr>
          <w:rFonts w:ascii="dcr10" w:hAnsi="dcr10"/>
          <w:sz w:val="22"/>
          <w:szCs w:val="22"/>
        </w:rPr>
        <w:t xml:space="preserve">For volatility to market comparisons and implied volatility to market comparisons, we use local indices except in the case of the implied volatility in Brazil, Canada, and Australia. Because these indices do not go back far enough in our dataset, we instead compare banks in these countries to the US VIX. </w:t>
      </w:r>
    </w:p>
    <w:p w14:paraId="219F0FAF" w14:textId="77777777" w:rsidR="005978A5" w:rsidRPr="005978A5" w:rsidRDefault="005978A5" w:rsidP="005978A5">
      <w:pPr>
        <w:rPr>
          <w:rFonts w:ascii="dcr10" w:hAnsi="dcr10"/>
          <w:sz w:val="22"/>
          <w:szCs w:val="22"/>
        </w:rPr>
      </w:pPr>
    </w:p>
    <w:p w14:paraId="09BB020B" w14:textId="77777777" w:rsidR="005978A5" w:rsidRPr="005978A5" w:rsidRDefault="005978A5" w:rsidP="005978A5">
      <w:pPr>
        <w:rPr>
          <w:rFonts w:ascii="dcr10" w:hAnsi="dcr10"/>
          <w:sz w:val="22"/>
          <w:szCs w:val="22"/>
        </w:rPr>
      </w:pPr>
      <w:r w:rsidRPr="005978A5">
        <w:rPr>
          <w:rFonts w:ascii="dcr10" w:eastAsia="Times New Roman" w:hAnsi="dcr10" w:cs="Times New Roman"/>
          <w:color w:val="000000"/>
          <w:sz w:val="22"/>
          <w:szCs w:val="22"/>
          <w:vertAlign w:val="superscript"/>
        </w:rPr>
        <w:t>++</w:t>
      </w:r>
      <w:r w:rsidRPr="005978A5">
        <w:rPr>
          <w:rFonts w:ascii="dcr10" w:hAnsi="dcr10"/>
          <w:sz w:val="22"/>
          <w:szCs w:val="22"/>
        </w:rPr>
        <w:t xml:space="preserve">Earliest implied volatility data available in 2005.   </w:t>
      </w:r>
    </w:p>
    <w:p w14:paraId="4997E7DF" w14:textId="77777777" w:rsidR="005978A5" w:rsidRPr="005978A5" w:rsidRDefault="005978A5" w:rsidP="005978A5">
      <w:pPr>
        <w:rPr>
          <w:rFonts w:ascii="dcr10" w:hAnsi="dcr10"/>
          <w:sz w:val="22"/>
          <w:szCs w:val="22"/>
        </w:rPr>
      </w:pPr>
    </w:p>
    <w:p w14:paraId="44AB85AE" w14:textId="63A7250F" w:rsidR="005978A5" w:rsidRPr="005978A5" w:rsidRDefault="005978A5" w:rsidP="005978A5">
      <w:pPr>
        <w:rPr>
          <w:rFonts w:ascii="dcr10" w:hAnsi="dcr10"/>
          <w:sz w:val="22"/>
          <w:szCs w:val="22"/>
        </w:rPr>
      </w:pPr>
      <w:r w:rsidRPr="005978A5">
        <w:rPr>
          <w:rFonts w:ascii="dcr10" w:eastAsia="Times New Roman" w:hAnsi="dcr10" w:cs="Times New Roman"/>
          <w:color w:val="000000"/>
          <w:sz w:val="22"/>
          <w:szCs w:val="22"/>
          <w:vertAlign w:val="superscript"/>
        </w:rPr>
        <w:t>+++</w:t>
      </w:r>
      <w:r w:rsidRPr="005978A5">
        <w:rPr>
          <w:rFonts w:ascii="dcr10" w:hAnsi="dcr10"/>
          <w:sz w:val="22"/>
          <w:szCs w:val="22"/>
        </w:rPr>
        <w:t xml:space="preserve">Price to book ratio is defined as the ratio of closing price to book value per share.   </w:t>
      </w:r>
    </w:p>
    <w:p w14:paraId="50DA7801" w14:textId="77777777" w:rsidR="00161321" w:rsidRDefault="00161321" w:rsidP="005978A5">
      <w:pPr>
        <w:spacing w:after="120"/>
        <w:rPr>
          <w:rFonts w:ascii="dcr10" w:hAnsi="dcr10"/>
        </w:rPr>
      </w:pPr>
    </w:p>
    <w:p w14:paraId="2B668F22" w14:textId="77777777" w:rsidR="00161321" w:rsidRDefault="00161321">
      <w:pPr>
        <w:rPr>
          <w:rFonts w:ascii="dcr10" w:hAnsi="dcr10"/>
        </w:rPr>
      </w:pPr>
      <w:r>
        <w:rPr>
          <w:rFonts w:ascii="dcr10" w:hAnsi="dcr10"/>
        </w:rPr>
        <w:br w:type="page"/>
      </w:r>
    </w:p>
    <w:p w14:paraId="5A2094E6" w14:textId="683A9B59" w:rsidR="00E21717" w:rsidRPr="00E21717" w:rsidRDefault="00E21717" w:rsidP="00E21717">
      <w:pPr>
        <w:spacing w:after="120"/>
        <w:jc w:val="center"/>
        <w:rPr>
          <w:rFonts w:ascii="dcr10" w:hAnsi="dcr10"/>
        </w:rPr>
      </w:pPr>
      <w:r w:rsidRPr="00E21717">
        <w:rPr>
          <w:rFonts w:ascii="dcr10" w:hAnsi="dcr10"/>
        </w:rPr>
        <w:lastRenderedPageBreak/>
        <w:t xml:space="preserve">Table </w:t>
      </w:r>
      <w:r w:rsidR="00C04984">
        <w:rPr>
          <w:rFonts w:ascii="dcr10" w:hAnsi="dcr10"/>
        </w:rPr>
        <w:t>I</w:t>
      </w:r>
      <w:r w:rsidR="0052181E">
        <w:rPr>
          <w:rFonts w:ascii="dcr10" w:hAnsi="dcr10"/>
        </w:rPr>
        <w:t>I</w:t>
      </w:r>
      <w:r w:rsidRPr="00E21717">
        <w:rPr>
          <w:rFonts w:ascii="dcr10" w:hAnsi="dcr10"/>
        </w:rPr>
        <w:br/>
      </w:r>
      <w:r w:rsidR="00F37BFE">
        <w:rPr>
          <w:rFonts w:ascii="dcr10" w:hAnsi="dcr10"/>
        </w:rPr>
        <w:t>Betas</w:t>
      </w:r>
      <w:r w:rsidRPr="00E21717">
        <w:rPr>
          <w:rFonts w:ascii="dcr10" w:hAnsi="dcr10"/>
        </w:rPr>
        <w:t xml:space="preserve"> for International Banks</w:t>
      </w:r>
    </w:p>
    <w:p w14:paraId="2EFD11B9" w14:textId="77777777" w:rsidR="00E21717" w:rsidRPr="00E21717" w:rsidRDefault="00E21717" w:rsidP="00E21717">
      <w:pPr>
        <w:jc w:val="both"/>
        <w:rPr>
          <w:rFonts w:ascii="dcr10" w:hAnsi="dcr10"/>
        </w:rPr>
      </w:pPr>
    </w:p>
    <w:p w14:paraId="3D9DBBB3" w14:textId="4EA04FB2" w:rsidR="00E21717" w:rsidRPr="00E21717" w:rsidRDefault="00E21717" w:rsidP="00E21717">
      <w:pPr>
        <w:jc w:val="both"/>
        <w:rPr>
          <w:rFonts w:ascii="dcr10" w:hAnsi="dcr10"/>
        </w:rPr>
      </w:pPr>
      <w:r w:rsidRPr="00E21717">
        <w:rPr>
          <w:rFonts w:ascii="dcr10" w:hAnsi="dcr10"/>
        </w:rPr>
        <w:t>This table reports betas for the thirty largest international financial institutions (excluding Chinese and American banks)</w:t>
      </w:r>
      <w:r w:rsidR="00371459">
        <w:rPr>
          <w:rFonts w:ascii="dcr10" w:hAnsi="dcr10"/>
        </w:rPr>
        <w:t xml:space="preserve"> for </w:t>
      </w:r>
      <w:proofErr w:type="gramStart"/>
      <w:r w:rsidR="00371459">
        <w:rPr>
          <w:rFonts w:ascii="dcr10" w:hAnsi="dcr10"/>
        </w:rPr>
        <w:t>whom</w:t>
      </w:r>
      <w:proofErr w:type="gramEnd"/>
      <w:r w:rsidR="00371459">
        <w:rPr>
          <w:rFonts w:ascii="dcr10" w:hAnsi="dcr10"/>
        </w:rPr>
        <w:t xml:space="preserve"> data is available</w:t>
      </w:r>
      <w:r w:rsidRPr="00E21717">
        <w:rPr>
          <w:rFonts w:ascii="dcr10" w:hAnsi="dcr10"/>
        </w:rPr>
        <w:t xml:space="preserve">. Pre-crisis is 2002-2007, and post-crisis is 2010-2014. We also compare pre-crisis to the most recent 2014 data. </w:t>
      </w:r>
    </w:p>
    <w:p w14:paraId="7AE68C47" w14:textId="77777777" w:rsidR="0008261B" w:rsidRDefault="0008261B" w:rsidP="002144A2">
      <w:pPr>
        <w:rPr>
          <w:rFonts w:ascii="dcr10" w:hAnsi="dcr10"/>
        </w:rPr>
      </w:pPr>
    </w:p>
    <w:p w14:paraId="16A7E626" w14:textId="77777777" w:rsidR="00161321" w:rsidRDefault="00161321" w:rsidP="002144A2">
      <w:pPr>
        <w:rPr>
          <w:rFonts w:ascii="dcr10" w:hAnsi="dcr10"/>
        </w:rPr>
      </w:pPr>
    </w:p>
    <w:tbl>
      <w:tblPr>
        <w:tblpPr w:leftFromText="180" w:rightFromText="180" w:vertAnchor="page" w:horzAnchor="page" w:tblpX="1909" w:tblpY="3241"/>
        <w:tblW w:w="8487" w:type="dxa"/>
        <w:tblLook w:val="04A0" w:firstRow="1" w:lastRow="0" w:firstColumn="1" w:lastColumn="0" w:noHBand="0" w:noVBand="1"/>
      </w:tblPr>
      <w:tblGrid>
        <w:gridCol w:w="3031"/>
        <w:gridCol w:w="1879"/>
        <w:gridCol w:w="2041"/>
        <w:gridCol w:w="1536"/>
      </w:tblGrid>
      <w:tr w:rsidR="00161321" w:rsidRPr="00E21717" w14:paraId="5DD33C8A" w14:textId="77777777" w:rsidTr="00B86BE9">
        <w:trPr>
          <w:trHeight w:val="302"/>
        </w:trPr>
        <w:tc>
          <w:tcPr>
            <w:tcW w:w="3031" w:type="dxa"/>
            <w:tcBorders>
              <w:top w:val="single" w:sz="4" w:space="0" w:color="auto"/>
              <w:left w:val="nil"/>
              <w:bottom w:val="single" w:sz="4" w:space="0" w:color="auto"/>
              <w:right w:val="nil"/>
            </w:tcBorders>
            <w:shd w:val="clear" w:color="auto" w:fill="auto"/>
            <w:noWrap/>
            <w:vAlign w:val="center"/>
            <w:hideMark/>
          </w:tcPr>
          <w:p w14:paraId="078ABE9F" w14:textId="77777777" w:rsidR="00161321" w:rsidRPr="00E21717" w:rsidRDefault="00161321" w:rsidP="00B86BE9">
            <w:pPr>
              <w:jc w:val="center"/>
              <w:rPr>
                <w:rFonts w:ascii="dcr10" w:eastAsia="Times New Roman" w:hAnsi="dcr10" w:cs="Times New Roman"/>
                <w:b/>
                <w:bCs/>
                <w:color w:val="000000"/>
                <w:sz w:val="18"/>
                <w:szCs w:val="18"/>
              </w:rPr>
            </w:pPr>
            <w:r w:rsidRPr="00E21717">
              <w:rPr>
                <w:rFonts w:ascii="dcr10" w:eastAsia="Times New Roman" w:hAnsi="dcr10" w:cs="Times New Roman"/>
                <w:b/>
                <w:bCs/>
                <w:color w:val="000000"/>
                <w:sz w:val="18"/>
                <w:szCs w:val="18"/>
              </w:rPr>
              <w:t xml:space="preserve">Bank  </w:t>
            </w:r>
          </w:p>
        </w:tc>
        <w:tc>
          <w:tcPr>
            <w:tcW w:w="1879" w:type="dxa"/>
            <w:tcBorders>
              <w:top w:val="single" w:sz="4" w:space="0" w:color="auto"/>
              <w:left w:val="nil"/>
              <w:bottom w:val="single" w:sz="4" w:space="0" w:color="auto"/>
              <w:right w:val="nil"/>
            </w:tcBorders>
            <w:shd w:val="clear" w:color="auto" w:fill="auto"/>
            <w:noWrap/>
            <w:vAlign w:val="center"/>
            <w:hideMark/>
          </w:tcPr>
          <w:p w14:paraId="70BF89CA" w14:textId="77777777" w:rsidR="00161321" w:rsidRPr="00E21717" w:rsidRDefault="00161321" w:rsidP="00B86BE9">
            <w:pPr>
              <w:jc w:val="center"/>
              <w:rPr>
                <w:rFonts w:ascii="dcr10" w:eastAsia="Times New Roman" w:hAnsi="dcr10" w:cs="Times New Roman"/>
                <w:b/>
                <w:bCs/>
                <w:color w:val="000000"/>
                <w:sz w:val="18"/>
                <w:szCs w:val="18"/>
              </w:rPr>
            </w:pPr>
            <w:r w:rsidRPr="00E21717">
              <w:rPr>
                <w:rFonts w:ascii="dcr10" w:eastAsia="Times New Roman" w:hAnsi="dcr10" w:cs="Times New Roman"/>
                <w:b/>
                <w:bCs/>
                <w:color w:val="000000"/>
                <w:sz w:val="18"/>
                <w:szCs w:val="18"/>
              </w:rPr>
              <w:t>Pre-crisis average</w:t>
            </w:r>
          </w:p>
        </w:tc>
        <w:tc>
          <w:tcPr>
            <w:tcW w:w="2041" w:type="dxa"/>
            <w:tcBorders>
              <w:top w:val="single" w:sz="4" w:space="0" w:color="auto"/>
              <w:left w:val="nil"/>
              <w:bottom w:val="single" w:sz="4" w:space="0" w:color="auto"/>
              <w:right w:val="nil"/>
            </w:tcBorders>
            <w:shd w:val="clear" w:color="auto" w:fill="auto"/>
            <w:noWrap/>
            <w:vAlign w:val="center"/>
            <w:hideMark/>
          </w:tcPr>
          <w:p w14:paraId="7F15F4C7" w14:textId="77777777" w:rsidR="00161321" w:rsidRPr="00E21717" w:rsidRDefault="00161321" w:rsidP="00B86BE9">
            <w:pPr>
              <w:jc w:val="center"/>
              <w:rPr>
                <w:rFonts w:ascii="dcr10" w:eastAsia="Times New Roman" w:hAnsi="dcr10" w:cs="Times New Roman"/>
                <w:b/>
                <w:bCs/>
                <w:color w:val="000000"/>
                <w:sz w:val="18"/>
                <w:szCs w:val="18"/>
              </w:rPr>
            </w:pPr>
            <w:r w:rsidRPr="00E21717">
              <w:rPr>
                <w:rFonts w:ascii="dcr10" w:eastAsia="Times New Roman" w:hAnsi="dcr10" w:cs="Times New Roman"/>
                <w:b/>
                <w:bCs/>
                <w:color w:val="000000"/>
                <w:sz w:val="18"/>
                <w:szCs w:val="18"/>
              </w:rPr>
              <w:t>Post-crisis average</w:t>
            </w:r>
          </w:p>
        </w:tc>
        <w:tc>
          <w:tcPr>
            <w:tcW w:w="1536" w:type="dxa"/>
            <w:tcBorders>
              <w:top w:val="single" w:sz="4" w:space="0" w:color="auto"/>
              <w:left w:val="nil"/>
              <w:bottom w:val="single" w:sz="4" w:space="0" w:color="auto"/>
              <w:right w:val="nil"/>
            </w:tcBorders>
            <w:shd w:val="clear" w:color="auto" w:fill="auto"/>
            <w:noWrap/>
            <w:vAlign w:val="center"/>
            <w:hideMark/>
          </w:tcPr>
          <w:p w14:paraId="085C73CD" w14:textId="77777777" w:rsidR="00161321" w:rsidRPr="00E21717" w:rsidRDefault="00161321" w:rsidP="00B86BE9">
            <w:pPr>
              <w:jc w:val="center"/>
              <w:rPr>
                <w:rFonts w:ascii="dcr10" w:eastAsia="Times New Roman" w:hAnsi="dcr10" w:cs="Times New Roman"/>
                <w:b/>
                <w:bCs/>
                <w:color w:val="000000"/>
                <w:sz w:val="18"/>
                <w:szCs w:val="18"/>
              </w:rPr>
            </w:pPr>
            <w:r w:rsidRPr="00E21717">
              <w:rPr>
                <w:rFonts w:ascii="dcr10" w:eastAsia="Times New Roman" w:hAnsi="dcr10" w:cs="Times New Roman"/>
                <w:b/>
                <w:bCs/>
                <w:color w:val="000000"/>
                <w:sz w:val="18"/>
                <w:szCs w:val="18"/>
              </w:rPr>
              <w:t>2014 average</w:t>
            </w:r>
          </w:p>
        </w:tc>
      </w:tr>
      <w:tr w:rsidR="00161321" w:rsidRPr="00E21717" w14:paraId="5A9807FE" w14:textId="77777777" w:rsidTr="00B86BE9">
        <w:trPr>
          <w:trHeight w:val="302"/>
        </w:trPr>
        <w:tc>
          <w:tcPr>
            <w:tcW w:w="3031" w:type="dxa"/>
            <w:tcBorders>
              <w:top w:val="single" w:sz="4" w:space="0" w:color="auto"/>
              <w:left w:val="nil"/>
              <w:bottom w:val="nil"/>
              <w:right w:val="nil"/>
            </w:tcBorders>
            <w:shd w:val="clear" w:color="auto" w:fill="auto"/>
            <w:noWrap/>
            <w:vAlign w:val="center"/>
            <w:hideMark/>
          </w:tcPr>
          <w:p w14:paraId="0BC65566" w14:textId="77777777" w:rsidR="00161321" w:rsidRPr="00E21717" w:rsidRDefault="00161321" w:rsidP="00B86BE9">
            <w:pP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 xml:space="preserve">Credit </w:t>
            </w:r>
            <w:proofErr w:type="spellStart"/>
            <w:r w:rsidRPr="00E21717">
              <w:rPr>
                <w:rFonts w:ascii="dcr10" w:eastAsia="Times New Roman" w:hAnsi="dcr10" w:cs="Times New Roman"/>
                <w:color w:val="000000"/>
                <w:sz w:val="18"/>
                <w:szCs w:val="18"/>
              </w:rPr>
              <w:t>Agricole</w:t>
            </w:r>
            <w:proofErr w:type="spellEnd"/>
            <w:r w:rsidRPr="00E21717">
              <w:rPr>
                <w:rFonts w:ascii="dcr10" w:eastAsia="Times New Roman" w:hAnsi="dcr10" w:cs="Times New Roman"/>
                <w:color w:val="000000"/>
                <w:sz w:val="18"/>
                <w:szCs w:val="18"/>
              </w:rPr>
              <w:t xml:space="preserve"> Group</w:t>
            </w:r>
          </w:p>
        </w:tc>
        <w:tc>
          <w:tcPr>
            <w:tcW w:w="1879" w:type="dxa"/>
            <w:tcBorders>
              <w:top w:val="single" w:sz="4" w:space="0" w:color="auto"/>
              <w:left w:val="nil"/>
              <w:bottom w:val="nil"/>
              <w:right w:val="nil"/>
            </w:tcBorders>
            <w:shd w:val="clear" w:color="auto" w:fill="auto"/>
            <w:noWrap/>
            <w:vAlign w:val="center"/>
            <w:hideMark/>
          </w:tcPr>
          <w:p w14:paraId="52C6E6AC"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0.64</w:t>
            </w:r>
          </w:p>
        </w:tc>
        <w:tc>
          <w:tcPr>
            <w:tcW w:w="2041" w:type="dxa"/>
            <w:tcBorders>
              <w:top w:val="single" w:sz="4" w:space="0" w:color="auto"/>
              <w:left w:val="nil"/>
              <w:bottom w:val="nil"/>
              <w:right w:val="nil"/>
            </w:tcBorders>
            <w:shd w:val="clear" w:color="auto" w:fill="auto"/>
            <w:noWrap/>
            <w:vAlign w:val="center"/>
            <w:hideMark/>
          </w:tcPr>
          <w:p w14:paraId="338C2C4D"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1.40</w:t>
            </w:r>
          </w:p>
        </w:tc>
        <w:tc>
          <w:tcPr>
            <w:tcW w:w="1536" w:type="dxa"/>
            <w:tcBorders>
              <w:top w:val="single" w:sz="4" w:space="0" w:color="auto"/>
              <w:left w:val="nil"/>
              <w:bottom w:val="nil"/>
              <w:right w:val="nil"/>
            </w:tcBorders>
            <w:shd w:val="clear" w:color="auto" w:fill="auto"/>
            <w:noWrap/>
            <w:vAlign w:val="center"/>
            <w:hideMark/>
          </w:tcPr>
          <w:p w14:paraId="238C5B51"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1.30</w:t>
            </w:r>
          </w:p>
        </w:tc>
      </w:tr>
      <w:tr w:rsidR="00161321" w:rsidRPr="00E21717" w14:paraId="60945A70" w14:textId="77777777" w:rsidTr="00B86BE9">
        <w:trPr>
          <w:trHeight w:val="302"/>
        </w:trPr>
        <w:tc>
          <w:tcPr>
            <w:tcW w:w="3031" w:type="dxa"/>
            <w:tcBorders>
              <w:top w:val="nil"/>
              <w:left w:val="nil"/>
              <w:bottom w:val="nil"/>
              <w:right w:val="nil"/>
            </w:tcBorders>
            <w:shd w:val="clear" w:color="auto" w:fill="auto"/>
            <w:noWrap/>
            <w:vAlign w:val="center"/>
            <w:hideMark/>
          </w:tcPr>
          <w:p w14:paraId="157785C0" w14:textId="77777777" w:rsidR="00161321" w:rsidRPr="00E21717" w:rsidRDefault="00161321" w:rsidP="00B86BE9">
            <w:pPr>
              <w:rPr>
                <w:rFonts w:ascii="dcr10" w:eastAsia="Times New Roman" w:hAnsi="dcr10" w:cs="Times New Roman"/>
                <w:color w:val="000000"/>
                <w:sz w:val="18"/>
                <w:szCs w:val="18"/>
              </w:rPr>
            </w:pPr>
            <w:r w:rsidRPr="00E21717">
              <w:rPr>
                <w:rFonts w:ascii="dcr10" w:eastAsia="Times New Roman" w:hAnsi="dcr10" w:cs="Times New Roman"/>
                <w:bCs/>
                <w:color w:val="000000"/>
                <w:sz w:val="18"/>
                <w:szCs w:val="18"/>
              </w:rPr>
              <w:t>Australia &amp; NZ Bank</w:t>
            </w:r>
          </w:p>
        </w:tc>
        <w:tc>
          <w:tcPr>
            <w:tcW w:w="1879" w:type="dxa"/>
            <w:tcBorders>
              <w:top w:val="nil"/>
              <w:left w:val="nil"/>
              <w:bottom w:val="nil"/>
              <w:right w:val="nil"/>
            </w:tcBorders>
            <w:shd w:val="clear" w:color="auto" w:fill="auto"/>
            <w:noWrap/>
            <w:vAlign w:val="center"/>
            <w:hideMark/>
          </w:tcPr>
          <w:p w14:paraId="2552CE80"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0.53</w:t>
            </w:r>
          </w:p>
        </w:tc>
        <w:tc>
          <w:tcPr>
            <w:tcW w:w="2041" w:type="dxa"/>
            <w:tcBorders>
              <w:top w:val="nil"/>
              <w:left w:val="nil"/>
              <w:bottom w:val="nil"/>
              <w:right w:val="nil"/>
            </w:tcBorders>
            <w:shd w:val="clear" w:color="auto" w:fill="auto"/>
            <w:noWrap/>
            <w:vAlign w:val="center"/>
            <w:hideMark/>
          </w:tcPr>
          <w:p w14:paraId="74C8BD5E"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0.67</w:t>
            </w:r>
          </w:p>
        </w:tc>
        <w:tc>
          <w:tcPr>
            <w:tcW w:w="1536" w:type="dxa"/>
            <w:tcBorders>
              <w:top w:val="nil"/>
              <w:left w:val="nil"/>
              <w:bottom w:val="nil"/>
              <w:right w:val="nil"/>
            </w:tcBorders>
            <w:shd w:val="clear" w:color="auto" w:fill="auto"/>
            <w:noWrap/>
            <w:vAlign w:val="center"/>
            <w:hideMark/>
          </w:tcPr>
          <w:p w14:paraId="5415BA2E"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0.71</w:t>
            </w:r>
          </w:p>
        </w:tc>
      </w:tr>
      <w:tr w:rsidR="00161321" w:rsidRPr="00E21717" w14:paraId="13629331" w14:textId="77777777" w:rsidTr="00B86BE9">
        <w:trPr>
          <w:trHeight w:val="302"/>
        </w:trPr>
        <w:tc>
          <w:tcPr>
            <w:tcW w:w="3031" w:type="dxa"/>
            <w:tcBorders>
              <w:top w:val="nil"/>
              <w:left w:val="nil"/>
              <w:bottom w:val="nil"/>
              <w:right w:val="nil"/>
            </w:tcBorders>
            <w:shd w:val="clear" w:color="auto" w:fill="auto"/>
            <w:noWrap/>
            <w:vAlign w:val="center"/>
            <w:hideMark/>
          </w:tcPr>
          <w:p w14:paraId="365E71D3" w14:textId="77777777" w:rsidR="00161321" w:rsidRPr="00E21717" w:rsidRDefault="00161321" w:rsidP="00B86BE9">
            <w:pPr>
              <w:rPr>
                <w:rFonts w:ascii="dcr10" w:eastAsia="Times New Roman" w:hAnsi="dcr10" w:cs="Times New Roman"/>
                <w:color w:val="000000"/>
                <w:sz w:val="18"/>
                <w:szCs w:val="18"/>
              </w:rPr>
            </w:pPr>
            <w:proofErr w:type="spellStart"/>
            <w:r w:rsidRPr="00E21717">
              <w:rPr>
                <w:rFonts w:ascii="dcr10" w:eastAsia="Times New Roman" w:hAnsi="dcr10" w:cs="Times New Roman"/>
                <w:color w:val="000000"/>
                <w:sz w:val="18"/>
                <w:szCs w:val="18"/>
              </w:rPr>
              <w:t>Banco</w:t>
            </w:r>
            <w:proofErr w:type="spellEnd"/>
            <w:r w:rsidRPr="00E21717">
              <w:rPr>
                <w:rFonts w:ascii="dcr10" w:eastAsia="Times New Roman" w:hAnsi="dcr10" w:cs="Times New Roman"/>
                <w:color w:val="000000"/>
                <w:sz w:val="18"/>
                <w:szCs w:val="18"/>
              </w:rPr>
              <w:t xml:space="preserve"> do </w:t>
            </w:r>
            <w:proofErr w:type="spellStart"/>
            <w:r w:rsidRPr="00E21717">
              <w:rPr>
                <w:rFonts w:ascii="dcr10" w:eastAsia="Times New Roman" w:hAnsi="dcr10" w:cs="Times New Roman"/>
                <w:color w:val="000000"/>
                <w:sz w:val="18"/>
                <w:szCs w:val="18"/>
              </w:rPr>
              <w:t>Brasil</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60417E26"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0.73</w:t>
            </w:r>
          </w:p>
        </w:tc>
        <w:tc>
          <w:tcPr>
            <w:tcW w:w="2041" w:type="dxa"/>
            <w:tcBorders>
              <w:top w:val="nil"/>
              <w:left w:val="nil"/>
              <w:bottom w:val="nil"/>
              <w:right w:val="nil"/>
            </w:tcBorders>
            <w:shd w:val="clear" w:color="auto" w:fill="auto"/>
            <w:noWrap/>
            <w:vAlign w:val="center"/>
            <w:hideMark/>
          </w:tcPr>
          <w:p w14:paraId="4B91511E"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0.77</w:t>
            </w:r>
          </w:p>
        </w:tc>
        <w:tc>
          <w:tcPr>
            <w:tcW w:w="1536" w:type="dxa"/>
            <w:tcBorders>
              <w:top w:val="nil"/>
              <w:left w:val="nil"/>
              <w:bottom w:val="nil"/>
              <w:right w:val="nil"/>
            </w:tcBorders>
            <w:shd w:val="clear" w:color="auto" w:fill="auto"/>
            <w:noWrap/>
            <w:vAlign w:val="center"/>
            <w:hideMark/>
          </w:tcPr>
          <w:p w14:paraId="20E1D985"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1.02</w:t>
            </w:r>
          </w:p>
        </w:tc>
      </w:tr>
      <w:tr w:rsidR="00161321" w:rsidRPr="00E21717" w14:paraId="172010A2" w14:textId="77777777" w:rsidTr="00B86BE9">
        <w:trPr>
          <w:trHeight w:val="302"/>
        </w:trPr>
        <w:tc>
          <w:tcPr>
            <w:tcW w:w="3031" w:type="dxa"/>
            <w:tcBorders>
              <w:top w:val="nil"/>
              <w:left w:val="nil"/>
              <w:bottom w:val="nil"/>
              <w:right w:val="nil"/>
            </w:tcBorders>
            <w:shd w:val="clear" w:color="auto" w:fill="auto"/>
            <w:noWrap/>
            <w:vAlign w:val="center"/>
            <w:hideMark/>
          </w:tcPr>
          <w:p w14:paraId="47B58A67" w14:textId="77777777" w:rsidR="00161321" w:rsidRPr="00E21717" w:rsidRDefault="00161321" w:rsidP="00B86BE9">
            <w:pPr>
              <w:rPr>
                <w:rFonts w:ascii="dcr10" w:eastAsia="Times New Roman" w:hAnsi="dcr10" w:cs="Times New Roman"/>
                <w:color w:val="000000"/>
                <w:sz w:val="18"/>
                <w:szCs w:val="18"/>
              </w:rPr>
            </w:pPr>
            <w:r w:rsidRPr="00E21717">
              <w:rPr>
                <w:rFonts w:ascii="dcr10" w:eastAsia="Times New Roman" w:hAnsi="dcr10" w:cs="Times New Roman"/>
                <w:bCs/>
                <w:color w:val="000000"/>
                <w:sz w:val="18"/>
                <w:szCs w:val="18"/>
              </w:rPr>
              <w:t xml:space="preserve">Bank of Montreal </w:t>
            </w:r>
          </w:p>
        </w:tc>
        <w:tc>
          <w:tcPr>
            <w:tcW w:w="1879" w:type="dxa"/>
            <w:tcBorders>
              <w:top w:val="nil"/>
              <w:left w:val="nil"/>
              <w:bottom w:val="nil"/>
              <w:right w:val="nil"/>
            </w:tcBorders>
            <w:shd w:val="clear" w:color="auto" w:fill="auto"/>
            <w:noWrap/>
            <w:vAlign w:val="center"/>
            <w:hideMark/>
          </w:tcPr>
          <w:p w14:paraId="1A8B75D3"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0.36</w:t>
            </w:r>
          </w:p>
        </w:tc>
        <w:tc>
          <w:tcPr>
            <w:tcW w:w="2041" w:type="dxa"/>
            <w:tcBorders>
              <w:top w:val="nil"/>
              <w:left w:val="nil"/>
              <w:bottom w:val="nil"/>
              <w:right w:val="nil"/>
            </w:tcBorders>
            <w:shd w:val="clear" w:color="auto" w:fill="auto"/>
            <w:noWrap/>
            <w:vAlign w:val="center"/>
            <w:hideMark/>
          </w:tcPr>
          <w:p w14:paraId="7333E269"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0.53</w:t>
            </w:r>
          </w:p>
        </w:tc>
        <w:tc>
          <w:tcPr>
            <w:tcW w:w="1536" w:type="dxa"/>
            <w:tcBorders>
              <w:top w:val="nil"/>
              <w:left w:val="nil"/>
              <w:bottom w:val="nil"/>
              <w:right w:val="nil"/>
            </w:tcBorders>
            <w:shd w:val="clear" w:color="auto" w:fill="auto"/>
            <w:noWrap/>
            <w:vAlign w:val="center"/>
            <w:hideMark/>
          </w:tcPr>
          <w:p w14:paraId="2881D048"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0.50</w:t>
            </w:r>
          </w:p>
        </w:tc>
      </w:tr>
      <w:tr w:rsidR="00161321" w:rsidRPr="00E21717" w14:paraId="0622003E" w14:textId="77777777" w:rsidTr="00B86BE9">
        <w:trPr>
          <w:trHeight w:val="302"/>
        </w:trPr>
        <w:tc>
          <w:tcPr>
            <w:tcW w:w="3031" w:type="dxa"/>
            <w:tcBorders>
              <w:top w:val="nil"/>
              <w:left w:val="nil"/>
              <w:bottom w:val="nil"/>
              <w:right w:val="nil"/>
            </w:tcBorders>
            <w:shd w:val="clear" w:color="auto" w:fill="auto"/>
            <w:noWrap/>
            <w:vAlign w:val="center"/>
            <w:hideMark/>
          </w:tcPr>
          <w:p w14:paraId="442ACC5A" w14:textId="77777777" w:rsidR="00161321" w:rsidRPr="00E21717" w:rsidRDefault="00161321" w:rsidP="00B86BE9">
            <w:pP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Barclays PLC</w:t>
            </w:r>
          </w:p>
        </w:tc>
        <w:tc>
          <w:tcPr>
            <w:tcW w:w="1879" w:type="dxa"/>
            <w:tcBorders>
              <w:top w:val="nil"/>
              <w:left w:val="nil"/>
              <w:bottom w:val="nil"/>
              <w:right w:val="nil"/>
            </w:tcBorders>
            <w:shd w:val="clear" w:color="auto" w:fill="auto"/>
            <w:noWrap/>
            <w:vAlign w:val="center"/>
            <w:hideMark/>
          </w:tcPr>
          <w:p w14:paraId="38EE66B2"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1.04</w:t>
            </w:r>
          </w:p>
        </w:tc>
        <w:tc>
          <w:tcPr>
            <w:tcW w:w="2041" w:type="dxa"/>
            <w:tcBorders>
              <w:top w:val="nil"/>
              <w:left w:val="nil"/>
              <w:bottom w:val="nil"/>
              <w:right w:val="nil"/>
            </w:tcBorders>
            <w:shd w:val="clear" w:color="auto" w:fill="auto"/>
            <w:noWrap/>
            <w:vAlign w:val="center"/>
            <w:hideMark/>
          </w:tcPr>
          <w:p w14:paraId="2CE697E0"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1.68</w:t>
            </w:r>
          </w:p>
        </w:tc>
        <w:tc>
          <w:tcPr>
            <w:tcW w:w="1536" w:type="dxa"/>
            <w:tcBorders>
              <w:top w:val="nil"/>
              <w:left w:val="nil"/>
              <w:bottom w:val="nil"/>
              <w:right w:val="nil"/>
            </w:tcBorders>
            <w:shd w:val="clear" w:color="auto" w:fill="auto"/>
            <w:noWrap/>
            <w:vAlign w:val="center"/>
            <w:hideMark/>
          </w:tcPr>
          <w:p w14:paraId="255D44B8"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1.20</w:t>
            </w:r>
          </w:p>
        </w:tc>
      </w:tr>
      <w:tr w:rsidR="00161321" w:rsidRPr="00E21717" w14:paraId="4BEF9087" w14:textId="77777777" w:rsidTr="00B86BE9">
        <w:trPr>
          <w:trHeight w:val="302"/>
        </w:trPr>
        <w:tc>
          <w:tcPr>
            <w:tcW w:w="3031" w:type="dxa"/>
            <w:tcBorders>
              <w:top w:val="nil"/>
              <w:left w:val="nil"/>
              <w:bottom w:val="nil"/>
              <w:right w:val="nil"/>
            </w:tcBorders>
            <w:shd w:val="clear" w:color="auto" w:fill="auto"/>
            <w:noWrap/>
            <w:vAlign w:val="center"/>
            <w:hideMark/>
          </w:tcPr>
          <w:p w14:paraId="6170033E" w14:textId="77777777" w:rsidR="00161321" w:rsidRPr="00E21717" w:rsidRDefault="00161321" w:rsidP="00B86BE9">
            <w:pPr>
              <w:rPr>
                <w:rFonts w:ascii="dcr10" w:eastAsia="Times New Roman" w:hAnsi="dcr10" w:cs="Times New Roman"/>
                <w:color w:val="000000"/>
                <w:sz w:val="18"/>
                <w:szCs w:val="18"/>
              </w:rPr>
            </w:pPr>
            <w:r w:rsidRPr="00E21717">
              <w:rPr>
                <w:rFonts w:ascii="dcr10" w:eastAsia="Times New Roman" w:hAnsi="dcr10" w:cs="Times New Roman"/>
                <w:bCs/>
                <w:color w:val="000000"/>
                <w:sz w:val="18"/>
                <w:szCs w:val="18"/>
              </w:rPr>
              <w:t>BNP Paribas</w:t>
            </w:r>
          </w:p>
        </w:tc>
        <w:tc>
          <w:tcPr>
            <w:tcW w:w="1879" w:type="dxa"/>
            <w:tcBorders>
              <w:top w:val="nil"/>
              <w:left w:val="nil"/>
              <w:bottom w:val="nil"/>
              <w:right w:val="nil"/>
            </w:tcBorders>
            <w:shd w:val="clear" w:color="auto" w:fill="auto"/>
            <w:noWrap/>
            <w:vAlign w:val="center"/>
            <w:hideMark/>
          </w:tcPr>
          <w:p w14:paraId="21394E9F"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0.99</w:t>
            </w:r>
          </w:p>
        </w:tc>
        <w:tc>
          <w:tcPr>
            <w:tcW w:w="2041" w:type="dxa"/>
            <w:tcBorders>
              <w:top w:val="nil"/>
              <w:left w:val="nil"/>
              <w:bottom w:val="nil"/>
              <w:right w:val="nil"/>
            </w:tcBorders>
            <w:shd w:val="clear" w:color="auto" w:fill="auto"/>
            <w:noWrap/>
            <w:vAlign w:val="center"/>
            <w:hideMark/>
          </w:tcPr>
          <w:p w14:paraId="2E89EF39"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1.28</w:t>
            </w:r>
          </w:p>
        </w:tc>
        <w:tc>
          <w:tcPr>
            <w:tcW w:w="1536" w:type="dxa"/>
            <w:tcBorders>
              <w:top w:val="nil"/>
              <w:left w:val="nil"/>
              <w:bottom w:val="nil"/>
              <w:right w:val="nil"/>
            </w:tcBorders>
            <w:shd w:val="clear" w:color="auto" w:fill="auto"/>
            <w:noWrap/>
            <w:vAlign w:val="center"/>
            <w:hideMark/>
          </w:tcPr>
          <w:p w14:paraId="7CAB1FCA"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1.16</w:t>
            </w:r>
          </w:p>
        </w:tc>
      </w:tr>
      <w:tr w:rsidR="00161321" w:rsidRPr="00E21717" w14:paraId="7F581B52" w14:textId="77777777" w:rsidTr="00B86BE9">
        <w:trPr>
          <w:trHeight w:val="302"/>
        </w:trPr>
        <w:tc>
          <w:tcPr>
            <w:tcW w:w="3031" w:type="dxa"/>
            <w:tcBorders>
              <w:top w:val="nil"/>
              <w:left w:val="nil"/>
              <w:bottom w:val="nil"/>
              <w:right w:val="nil"/>
            </w:tcBorders>
            <w:shd w:val="clear" w:color="auto" w:fill="auto"/>
            <w:noWrap/>
            <w:vAlign w:val="center"/>
            <w:hideMark/>
          </w:tcPr>
          <w:p w14:paraId="40886688" w14:textId="77777777" w:rsidR="00161321" w:rsidRPr="00E21717" w:rsidRDefault="00161321" w:rsidP="00B86BE9">
            <w:pP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 xml:space="preserve">Commerzbank </w:t>
            </w:r>
          </w:p>
        </w:tc>
        <w:tc>
          <w:tcPr>
            <w:tcW w:w="1879" w:type="dxa"/>
            <w:tcBorders>
              <w:top w:val="nil"/>
              <w:left w:val="nil"/>
              <w:bottom w:val="nil"/>
              <w:right w:val="nil"/>
            </w:tcBorders>
            <w:shd w:val="clear" w:color="auto" w:fill="auto"/>
            <w:noWrap/>
            <w:vAlign w:val="center"/>
            <w:hideMark/>
          </w:tcPr>
          <w:p w14:paraId="4BD240EE"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1.02</w:t>
            </w:r>
          </w:p>
        </w:tc>
        <w:tc>
          <w:tcPr>
            <w:tcW w:w="2041" w:type="dxa"/>
            <w:tcBorders>
              <w:top w:val="nil"/>
              <w:left w:val="nil"/>
              <w:bottom w:val="nil"/>
              <w:right w:val="nil"/>
            </w:tcBorders>
            <w:shd w:val="clear" w:color="auto" w:fill="auto"/>
            <w:noWrap/>
            <w:vAlign w:val="center"/>
            <w:hideMark/>
          </w:tcPr>
          <w:p w14:paraId="5C11B5EA"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1.14</w:t>
            </w:r>
          </w:p>
        </w:tc>
        <w:tc>
          <w:tcPr>
            <w:tcW w:w="1536" w:type="dxa"/>
            <w:tcBorders>
              <w:top w:val="nil"/>
              <w:left w:val="nil"/>
              <w:bottom w:val="nil"/>
              <w:right w:val="nil"/>
            </w:tcBorders>
            <w:shd w:val="clear" w:color="auto" w:fill="auto"/>
            <w:noWrap/>
            <w:vAlign w:val="center"/>
            <w:hideMark/>
          </w:tcPr>
          <w:p w14:paraId="2E7CA87A"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1.09</w:t>
            </w:r>
          </w:p>
        </w:tc>
      </w:tr>
      <w:tr w:rsidR="00161321" w:rsidRPr="00E21717" w14:paraId="00FDC362" w14:textId="77777777" w:rsidTr="00B86BE9">
        <w:trPr>
          <w:trHeight w:val="302"/>
        </w:trPr>
        <w:tc>
          <w:tcPr>
            <w:tcW w:w="3031" w:type="dxa"/>
            <w:tcBorders>
              <w:top w:val="nil"/>
              <w:left w:val="nil"/>
              <w:bottom w:val="nil"/>
              <w:right w:val="nil"/>
            </w:tcBorders>
            <w:shd w:val="clear" w:color="auto" w:fill="auto"/>
            <w:noWrap/>
            <w:vAlign w:val="center"/>
            <w:hideMark/>
          </w:tcPr>
          <w:p w14:paraId="721D122C" w14:textId="77777777" w:rsidR="00161321" w:rsidRPr="00E21717" w:rsidRDefault="00161321" w:rsidP="00B86BE9">
            <w:pPr>
              <w:rPr>
                <w:rFonts w:ascii="dcr10" w:eastAsia="Times New Roman" w:hAnsi="dcr10" w:cs="Times New Roman"/>
                <w:color w:val="000000"/>
                <w:sz w:val="18"/>
                <w:szCs w:val="18"/>
              </w:rPr>
            </w:pPr>
            <w:r w:rsidRPr="00E21717">
              <w:rPr>
                <w:rFonts w:ascii="dcr10" w:eastAsia="Times New Roman" w:hAnsi="dcr10" w:cs="Times New Roman"/>
                <w:bCs/>
                <w:color w:val="000000"/>
                <w:sz w:val="18"/>
                <w:szCs w:val="18"/>
              </w:rPr>
              <w:t xml:space="preserve">Credit Suisse Group </w:t>
            </w:r>
          </w:p>
        </w:tc>
        <w:tc>
          <w:tcPr>
            <w:tcW w:w="1879" w:type="dxa"/>
            <w:tcBorders>
              <w:top w:val="nil"/>
              <w:left w:val="nil"/>
              <w:bottom w:val="nil"/>
              <w:right w:val="nil"/>
            </w:tcBorders>
            <w:shd w:val="clear" w:color="auto" w:fill="auto"/>
            <w:noWrap/>
            <w:vAlign w:val="center"/>
            <w:hideMark/>
          </w:tcPr>
          <w:p w14:paraId="604F05B6"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1.23</w:t>
            </w:r>
          </w:p>
        </w:tc>
        <w:tc>
          <w:tcPr>
            <w:tcW w:w="2041" w:type="dxa"/>
            <w:tcBorders>
              <w:top w:val="nil"/>
              <w:left w:val="nil"/>
              <w:bottom w:val="nil"/>
              <w:right w:val="nil"/>
            </w:tcBorders>
            <w:shd w:val="clear" w:color="auto" w:fill="auto"/>
            <w:noWrap/>
            <w:vAlign w:val="center"/>
            <w:hideMark/>
          </w:tcPr>
          <w:p w14:paraId="529B0E54"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1.39</w:t>
            </w:r>
          </w:p>
        </w:tc>
        <w:tc>
          <w:tcPr>
            <w:tcW w:w="1536" w:type="dxa"/>
            <w:tcBorders>
              <w:top w:val="nil"/>
              <w:left w:val="nil"/>
              <w:bottom w:val="nil"/>
              <w:right w:val="nil"/>
            </w:tcBorders>
            <w:shd w:val="clear" w:color="auto" w:fill="auto"/>
            <w:noWrap/>
            <w:vAlign w:val="center"/>
            <w:hideMark/>
          </w:tcPr>
          <w:p w14:paraId="218185FB"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1.16</w:t>
            </w:r>
          </w:p>
        </w:tc>
      </w:tr>
      <w:tr w:rsidR="00161321" w:rsidRPr="00E21717" w14:paraId="37BAD4B1" w14:textId="77777777" w:rsidTr="00B86BE9">
        <w:trPr>
          <w:trHeight w:val="302"/>
        </w:trPr>
        <w:tc>
          <w:tcPr>
            <w:tcW w:w="3031" w:type="dxa"/>
            <w:tcBorders>
              <w:top w:val="nil"/>
              <w:left w:val="nil"/>
              <w:bottom w:val="nil"/>
              <w:right w:val="nil"/>
            </w:tcBorders>
            <w:shd w:val="clear" w:color="auto" w:fill="auto"/>
            <w:noWrap/>
            <w:vAlign w:val="center"/>
            <w:hideMark/>
          </w:tcPr>
          <w:p w14:paraId="223D27DF" w14:textId="77777777" w:rsidR="00161321" w:rsidRPr="00E21717" w:rsidRDefault="00161321" w:rsidP="00B86BE9">
            <w:pPr>
              <w:rPr>
                <w:rFonts w:ascii="dcr10" w:eastAsia="Times New Roman" w:hAnsi="dcr10" w:cs="Times New Roman"/>
                <w:color w:val="000000"/>
                <w:sz w:val="18"/>
                <w:szCs w:val="18"/>
              </w:rPr>
            </w:pPr>
            <w:proofErr w:type="spellStart"/>
            <w:r w:rsidRPr="00E21717">
              <w:rPr>
                <w:rFonts w:ascii="dcr10" w:eastAsia="Times New Roman" w:hAnsi="dcr10" w:cs="Times New Roman"/>
                <w:color w:val="000000"/>
                <w:sz w:val="18"/>
                <w:szCs w:val="18"/>
              </w:rPr>
              <w:t>Danske</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1F2F625E"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0.58</w:t>
            </w:r>
          </w:p>
        </w:tc>
        <w:tc>
          <w:tcPr>
            <w:tcW w:w="2041" w:type="dxa"/>
            <w:tcBorders>
              <w:top w:val="nil"/>
              <w:left w:val="nil"/>
              <w:bottom w:val="nil"/>
              <w:right w:val="nil"/>
            </w:tcBorders>
            <w:shd w:val="clear" w:color="auto" w:fill="auto"/>
            <w:noWrap/>
            <w:vAlign w:val="center"/>
            <w:hideMark/>
          </w:tcPr>
          <w:p w14:paraId="77DD72A5"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1.03</w:t>
            </w:r>
          </w:p>
        </w:tc>
        <w:tc>
          <w:tcPr>
            <w:tcW w:w="1536" w:type="dxa"/>
            <w:tcBorders>
              <w:top w:val="nil"/>
              <w:left w:val="nil"/>
              <w:bottom w:val="nil"/>
              <w:right w:val="nil"/>
            </w:tcBorders>
            <w:shd w:val="clear" w:color="auto" w:fill="auto"/>
            <w:noWrap/>
            <w:vAlign w:val="center"/>
            <w:hideMark/>
          </w:tcPr>
          <w:p w14:paraId="058418DF"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0.78</w:t>
            </w:r>
          </w:p>
        </w:tc>
      </w:tr>
      <w:tr w:rsidR="00161321" w:rsidRPr="00E21717" w14:paraId="67380CF8" w14:textId="77777777" w:rsidTr="00B86BE9">
        <w:trPr>
          <w:trHeight w:val="302"/>
        </w:trPr>
        <w:tc>
          <w:tcPr>
            <w:tcW w:w="3031" w:type="dxa"/>
            <w:tcBorders>
              <w:top w:val="nil"/>
              <w:left w:val="nil"/>
              <w:bottom w:val="nil"/>
              <w:right w:val="nil"/>
            </w:tcBorders>
            <w:shd w:val="clear" w:color="auto" w:fill="auto"/>
            <w:noWrap/>
            <w:vAlign w:val="center"/>
            <w:hideMark/>
          </w:tcPr>
          <w:p w14:paraId="157E4E30" w14:textId="77777777" w:rsidR="00161321" w:rsidRPr="00E21717" w:rsidRDefault="00161321" w:rsidP="00B86BE9">
            <w:pPr>
              <w:rPr>
                <w:rFonts w:ascii="dcr10" w:eastAsia="Times New Roman" w:hAnsi="dcr10" w:cs="Times New Roman"/>
                <w:color w:val="000000"/>
                <w:sz w:val="18"/>
                <w:szCs w:val="18"/>
              </w:rPr>
            </w:pPr>
            <w:r w:rsidRPr="00E21717">
              <w:rPr>
                <w:rFonts w:ascii="dcr10" w:eastAsia="Times New Roman" w:hAnsi="dcr10" w:cs="Times New Roman"/>
                <w:bCs/>
                <w:color w:val="000000"/>
                <w:sz w:val="18"/>
                <w:szCs w:val="18"/>
              </w:rPr>
              <w:t xml:space="preserve">Deutsche Bank </w:t>
            </w:r>
          </w:p>
        </w:tc>
        <w:tc>
          <w:tcPr>
            <w:tcW w:w="1879" w:type="dxa"/>
            <w:tcBorders>
              <w:top w:val="nil"/>
              <w:left w:val="nil"/>
              <w:bottom w:val="nil"/>
              <w:right w:val="nil"/>
            </w:tcBorders>
            <w:shd w:val="clear" w:color="auto" w:fill="auto"/>
            <w:noWrap/>
            <w:vAlign w:val="center"/>
            <w:hideMark/>
          </w:tcPr>
          <w:p w14:paraId="298A50A5"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1.00</w:t>
            </w:r>
          </w:p>
        </w:tc>
        <w:tc>
          <w:tcPr>
            <w:tcW w:w="2041" w:type="dxa"/>
            <w:tcBorders>
              <w:top w:val="nil"/>
              <w:left w:val="nil"/>
              <w:bottom w:val="nil"/>
              <w:right w:val="nil"/>
            </w:tcBorders>
            <w:shd w:val="clear" w:color="auto" w:fill="auto"/>
            <w:noWrap/>
            <w:vAlign w:val="center"/>
            <w:hideMark/>
          </w:tcPr>
          <w:p w14:paraId="3A448F2D"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1.16</w:t>
            </w:r>
          </w:p>
        </w:tc>
        <w:tc>
          <w:tcPr>
            <w:tcW w:w="1536" w:type="dxa"/>
            <w:tcBorders>
              <w:top w:val="nil"/>
              <w:left w:val="nil"/>
              <w:bottom w:val="nil"/>
              <w:right w:val="nil"/>
            </w:tcBorders>
            <w:shd w:val="clear" w:color="auto" w:fill="auto"/>
            <w:noWrap/>
            <w:vAlign w:val="center"/>
            <w:hideMark/>
          </w:tcPr>
          <w:p w14:paraId="733584E4"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1.03</w:t>
            </w:r>
          </w:p>
        </w:tc>
      </w:tr>
      <w:tr w:rsidR="00161321" w:rsidRPr="00E21717" w14:paraId="0414157B" w14:textId="77777777" w:rsidTr="00B86BE9">
        <w:trPr>
          <w:trHeight w:val="302"/>
        </w:trPr>
        <w:tc>
          <w:tcPr>
            <w:tcW w:w="3031" w:type="dxa"/>
            <w:tcBorders>
              <w:top w:val="nil"/>
              <w:left w:val="nil"/>
              <w:bottom w:val="nil"/>
              <w:right w:val="nil"/>
            </w:tcBorders>
            <w:shd w:val="clear" w:color="auto" w:fill="auto"/>
            <w:noWrap/>
            <w:vAlign w:val="center"/>
            <w:hideMark/>
          </w:tcPr>
          <w:p w14:paraId="6C5686E5" w14:textId="77777777" w:rsidR="00161321" w:rsidRPr="00E21717" w:rsidRDefault="00161321" w:rsidP="00B86BE9">
            <w:pP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HSBC Holdings</w:t>
            </w:r>
          </w:p>
        </w:tc>
        <w:tc>
          <w:tcPr>
            <w:tcW w:w="1879" w:type="dxa"/>
            <w:tcBorders>
              <w:top w:val="nil"/>
              <w:left w:val="nil"/>
              <w:bottom w:val="nil"/>
              <w:right w:val="nil"/>
            </w:tcBorders>
            <w:shd w:val="clear" w:color="auto" w:fill="auto"/>
            <w:noWrap/>
            <w:vAlign w:val="center"/>
            <w:hideMark/>
          </w:tcPr>
          <w:p w14:paraId="4E81E23F"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0.55</w:t>
            </w:r>
          </w:p>
        </w:tc>
        <w:tc>
          <w:tcPr>
            <w:tcW w:w="2041" w:type="dxa"/>
            <w:tcBorders>
              <w:top w:val="nil"/>
              <w:left w:val="nil"/>
              <w:bottom w:val="nil"/>
              <w:right w:val="nil"/>
            </w:tcBorders>
            <w:shd w:val="clear" w:color="auto" w:fill="auto"/>
            <w:noWrap/>
            <w:vAlign w:val="center"/>
            <w:hideMark/>
          </w:tcPr>
          <w:p w14:paraId="67D169D2"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0.83</w:t>
            </w:r>
          </w:p>
        </w:tc>
        <w:tc>
          <w:tcPr>
            <w:tcW w:w="1536" w:type="dxa"/>
            <w:tcBorders>
              <w:top w:val="nil"/>
              <w:left w:val="nil"/>
              <w:bottom w:val="nil"/>
              <w:right w:val="nil"/>
            </w:tcBorders>
            <w:shd w:val="clear" w:color="auto" w:fill="auto"/>
            <w:noWrap/>
            <w:vAlign w:val="center"/>
            <w:hideMark/>
          </w:tcPr>
          <w:p w14:paraId="67D57C72"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0.77</w:t>
            </w:r>
          </w:p>
        </w:tc>
      </w:tr>
      <w:tr w:rsidR="00161321" w:rsidRPr="00E21717" w14:paraId="135CC570" w14:textId="77777777" w:rsidTr="00B86BE9">
        <w:trPr>
          <w:trHeight w:val="302"/>
        </w:trPr>
        <w:tc>
          <w:tcPr>
            <w:tcW w:w="3031" w:type="dxa"/>
            <w:tcBorders>
              <w:top w:val="nil"/>
              <w:left w:val="nil"/>
              <w:bottom w:val="nil"/>
              <w:right w:val="nil"/>
            </w:tcBorders>
            <w:shd w:val="clear" w:color="auto" w:fill="auto"/>
            <w:noWrap/>
            <w:vAlign w:val="center"/>
            <w:hideMark/>
          </w:tcPr>
          <w:p w14:paraId="1188D106" w14:textId="77777777" w:rsidR="00161321" w:rsidRPr="00E21717" w:rsidRDefault="00161321" w:rsidP="00B86BE9">
            <w:pPr>
              <w:rPr>
                <w:rFonts w:ascii="dcr10" w:eastAsia="Times New Roman" w:hAnsi="dcr10" w:cs="Times New Roman"/>
                <w:color w:val="000000"/>
                <w:sz w:val="18"/>
                <w:szCs w:val="18"/>
              </w:rPr>
            </w:pPr>
            <w:r w:rsidRPr="00E21717">
              <w:rPr>
                <w:rFonts w:ascii="dcr10" w:eastAsia="Times New Roman" w:hAnsi="dcr10" w:cs="Times New Roman"/>
                <w:bCs/>
                <w:color w:val="000000"/>
                <w:sz w:val="18"/>
                <w:szCs w:val="18"/>
              </w:rPr>
              <w:t xml:space="preserve">ING Bank N.V. </w:t>
            </w:r>
          </w:p>
        </w:tc>
        <w:tc>
          <w:tcPr>
            <w:tcW w:w="1879" w:type="dxa"/>
            <w:tcBorders>
              <w:top w:val="nil"/>
              <w:left w:val="nil"/>
              <w:bottom w:val="nil"/>
              <w:right w:val="nil"/>
            </w:tcBorders>
            <w:shd w:val="clear" w:color="auto" w:fill="auto"/>
            <w:noWrap/>
            <w:vAlign w:val="center"/>
            <w:hideMark/>
          </w:tcPr>
          <w:p w14:paraId="48C795A4"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2BC492D7"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N/A</w:t>
            </w:r>
          </w:p>
        </w:tc>
        <w:tc>
          <w:tcPr>
            <w:tcW w:w="1536" w:type="dxa"/>
            <w:tcBorders>
              <w:top w:val="nil"/>
              <w:left w:val="nil"/>
              <w:bottom w:val="nil"/>
              <w:right w:val="nil"/>
            </w:tcBorders>
            <w:shd w:val="clear" w:color="auto" w:fill="auto"/>
            <w:noWrap/>
            <w:vAlign w:val="center"/>
            <w:hideMark/>
          </w:tcPr>
          <w:p w14:paraId="2F4208EA"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N/A</w:t>
            </w:r>
          </w:p>
        </w:tc>
      </w:tr>
      <w:tr w:rsidR="00161321" w:rsidRPr="00E21717" w14:paraId="3E1FD2A6" w14:textId="77777777" w:rsidTr="00B86BE9">
        <w:trPr>
          <w:trHeight w:val="302"/>
        </w:trPr>
        <w:tc>
          <w:tcPr>
            <w:tcW w:w="3031" w:type="dxa"/>
            <w:tcBorders>
              <w:top w:val="nil"/>
              <w:left w:val="nil"/>
              <w:bottom w:val="nil"/>
              <w:right w:val="nil"/>
            </w:tcBorders>
            <w:shd w:val="clear" w:color="auto" w:fill="auto"/>
            <w:noWrap/>
            <w:vAlign w:val="center"/>
            <w:hideMark/>
          </w:tcPr>
          <w:p w14:paraId="690F17A7" w14:textId="77777777" w:rsidR="00161321" w:rsidRPr="00E21717" w:rsidRDefault="00161321" w:rsidP="00B86BE9">
            <w:pPr>
              <w:rPr>
                <w:rFonts w:ascii="dcr10" w:eastAsia="Times New Roman" w:hAnsi="dcr10" w:cs="Times New Roman"/>
                <w:color w:val="000000"/>
                <w:sz w:val="18"/>
                <w:szCs w:val="18"/>
              </w:rPr>
            </w:pPr>
            <w:proofErr w:type="spellStart"/>
            <w:r w:rsidRPr="00E21717">
              <w:rPr>
                <w:rFonts w:ascii="dcr10" w:eastAsia="Times New Roman" w:hAnsi="dcr10" w:cs="Times New Roman"/>
                <w:color w:val="000000"/>
                <w:sz w:val="18"/>
                <w:szCs w:val="18"/>
              </w:rPr>
              <w:t>Intesa</w:t>
            </w:r>
            <w:proofErr w:type="spellEnd"/>
            <w:r w:rsidRPr="00E21717">
              <w:rPr>
                <w:rFonts w:ascii="dcr10" w:eastAsia="Times New Roman" w:hAnsi="dcr10" w:cs="Times New Roman"/>
                <w:color w:val="000000"/>
                <w:sz w:val="18"/>
                <w:szCs w:val="18"/>
              </w:rPr>
              <w:t xml:space="preserve"> </w:t>
            </w:r>
            <w:proofErr w:type="spellStart"/>
            <w:r w:rsidRPr="00E21717">
              <w:rPr>
                <w:rFonts w:ascii="dcr10" w:eastAsia="Times New Roman" w:hAnsi="dcr10" w:cs="Times New Roman"/>
                <w:color w:val="000000"/>
                <w:sz w:val="18"/>
                <w:szCs w:val="18"/>
              </w:rPr>
              <w:t>Sanpaolo</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030B43D4"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0.89</w:t>
            </w:r>
          </w:p>
        </w:tc>
        <w:tc>
          <w:tcPr>
            <w:tcW w:w="2041" w:type="dxa"/>
            <w:tcBorders>
              <w:top w:val="nil"/>
              <w:left w:val="nil"/>
              <w:bottom w:val="nil"/>
              <w:right w:val="nil"/>
            </w:tcBorders>
            <w:shd w:val="clear" w:color="auto" w:fill="auto"/>
            <w:noWrap/>
            <w:vAlign w:val="center"/>
            <w:hideMark/>
          </w:tcPr>
          <w:p w14:paraId="6235CD8B"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1.23</w:t>
            </w:r>
          </w:p>
        </w:tc>
        <w:tc>
          <w:tcPr>
            <w:tcW w:w="1536" w:type="dxa"/>
            <w:tcBorders>
              <w:top w:val="nil"/>
              <w:left w:val="nil"/>
              <w:bottom w:val="nil"/>
              <w:right w:val="nil"/>
            </w:tcBorders>
            <w:shd w:val="clear" w:color="auto" w:fill="auto"/>
            <w:noWrap/>
            <w:vAlign w:val="center"/>
            <w:hideMark/>
          </w:tcPr>
          <w:p w14:paraId="451B29CF"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1.22</w:t>
            </w:r>
          </w:p>
        </w:tc>
      </w:tr>
      <w:tr w:rsidR="00161321" w:rsidRPr="00E21717" w14:paraId="236CC12C" w14:textId="77777777" w:rsidTr="00B86BE9">
        <w:trPr>
          <w:trHeight w:val="302"/>
        </w:trPr>
        <w:tc>
          <w:tcPr>
            <w:tcW w:w="3031" w:type="dxa"/>
            <w:tcBorders>
              <w:top w:val="nil"/>
              <w:left w:val="nil"/>
              <w:bottom w:val="nil"/>
              <w:right w:val="nil"/>
            </w:tcBorders>
            <w:shd w:val="clear" w:color="auto" w:fill="auto"/>
            <w:noWrap/>
            <w:vAlign w:val="center"/>
            <w:hideMark/>
          </w:tcPr>
          <w:p w14:paraId="65E10C16" w14:textId="77777777" w:rsidR="00161321" w:rsidRPr="00E21717" w:rsidRDefault="00161321" w:rsidP="00B86BE9">
            <w:pPr>
              <w:rPr>
                <w:rFonts w:ascii="dcr10" w:eastAsia="Times New Roman" w:hAnsi="dcr10" w:cs="Times New Roman"/>
                <w:color w:val="000000"/>
                <w:sz w:val="18"/>
                <w:szCs w:val="18"/>
              </w:rPr>
            </w:pPr>
            <w:r w:rsidRPr="00E21717">
              <w:rPr>
                <w:rFonts w:ascii="dcr10" w:eastAsia="Times New Roman" w:hAnsi="dcr10" w:cs="Times New Roman"/>
                <w:bCs/>
                <w:color w:val="000000"/>
                <w:sz w:val="18"/>
                <w:szCs w:val="18"/>
              </w:rPr>
              <w:t xml:space="preserve">Lloyds Banking Group </w:t>
            </w:r>
          </w:p>
        </w:tc>
        <w:tc>
          <w:tcPr>
            <w:tcW w:w="1879" w:type="dxa"/>
            <w:tcBorders>
              <w:top w:val="nil"/>
              <w:left w:val="nil"/>
              <w:bottom w:val="nil"/>
              <w:right w:val="nil"/>
            </w:tcBorders>
            <w:shd w:val="clear" w:color="auto" w:fill="auto"/>
            <w:noWrap/>
            <w:vAlign w:val="center"/>
            <w:hideMark/>
          </w:tcPr>
          <w:p w14:paraId="05998369"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0.86</w:t>
            </w:r>
          </w:p>
        </w:tc>
        <w:tc>
          <w:tcPr>
            <w:tcW w:w="2041" w:type="dxa"/>
            <w:tcBorders>
              <w:top w:val="nil"/>
              <w:left w:val="nil"/>
              <w:bottom w:val="nil"/>
              <w:right w:val="nil"/>
            </w:tcBorders>
            <w:shd w:val="clear" w:color="auto" w:fill="auto"/>
            <w:noWrap/>
            <w:vAlign w:val="center"/>
            <w:hideMark/>
          </w:tcPr>
          <w:p w14:paraId="6D52F755"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1.50</w:t>
            </w:r>
          </w:p>
        </w:tc>
        <w:tc>
          <w:tcPr>
            <w:tcW w:w="1536" w:type="dxa"/>
            <w:tcBorders>
              <w:top w:val="nil"/>
              <w:left w:val="nil"/>
              <w:bottom w:val="nil"/>
              <w:right w:val="nil"/>
            </w:tcBorders>
            <w:shd w:val="clear" w:color="auto" w:fill="auto"/>
            <w:noWrap/>
            <w:vAlign w:val="center"/>
            <w:hideMark/>
          </w:tcPr>
          <w:p w14:paraId="22E76DD1"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0.95</w:t>
            </w:r>
          </w:p>
        </w:tc>
      </w:tr>
      <w:tr w:rsidR="00161321" w:rsidRPr="00E21717" w14:paraId="779982F2" w14:textId="77777777" w:rsidTr="00B86BE9">
        <w:trPr>
          <w:trHeight w:val="302"/>
        </w:trPr>
        <w:tc>
          <w:tcPr>
            <w:tcW w:w="3031" w:type="dxa"/>
            <w:tcBorders>
              <w:top w:val="nil"/>
              <w:left w:val="nil"/>
              <w:bottom w:val="nil"/>
              <w:right w:val="nil"/>
            </w:tcBorders>
            <w:shd w:val="clear" w:color="auto" w:fill="auto"/>
            <w:noWrap/>
            <w:vAlign w:val="center"/>
            <w:hideMark/>
          </w:tcPr>
          <w:p w14:paraId="1E3B6B16" w14:textId="77777777" w:rsidR="00161321" w:rsidRPr="00E21717" w:rsidRDefault="00161321" w:rsidP="00B86BE9">
            <w:pP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 xml:space="preserve">Mitsubishi Financial Group </w:t>
            </w:r>
          </w:p>
        </w:tc>
        <w:tc>
          <w:tcPr>
            <w:tcW w:w="1879" w:type="dxa"/>
            <w:tcBorders>
              <w:top w:val="nil"/>
              <w:left w:val="nil"/>
              <w:bottom w:val="nil"/>
              <w:right w:val="nil"/>
            </w:tcBorders>
            <w:shd w:val="clear" w:color="auto" w:fill="auto"/>
            <w:noWrap/>
            <w:vAlign w:val="center"/>
            <w:hideMark/>
          </w:tcPr>
          <w:p w14:paraId="6887E403"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1.20</w:t>
            </w:r>
          </w:p>
        </w:tc>
        <w:tc>
          <w:tcPr>
            <w:tcW w:w="2041" w:type="dxa"/>
            <w:tcBorders>
              <w:top w:val="nil"/>
              <w:left w:val="nil"/>
              <w:bottom w:val="nil"/>
              <w:right w:val="nil"/>
            </w:tcBorders>
            <w:shd w:val="clear" w:color="auto" w:fill="auto"/>
            <w:noWrap/>
            <w:vAlign w:val="center"/>
            <w:hideMark/>
          </w:tcPr>
          <w:p w14:paraId="404329B2"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1.33</w:t>
            </w:r>
          </w:p>
        </w:tc>
        <w:tc>
          <w:tcPr>
            <w:tcW w:w="1536" w:type="dxa"/>
            <w:tcBorders>
              <w:top w:val="nil"/>
              <w:left w:val="nil"/>
              <w:bottom w:val="nil"/>
              <w:right w:val="nil"/>
            </w:tcBorders>
            <w:shd w:val="clear" w:color="auto" w:fill="auto"/>
            <w:noWrap/>
            <w:vAlign w:val="center"/>
            <w:hideMark/>
          </w:tcPr>
          <w:p w14:paraId="6BA36D00"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1.51</w:t>
            </w:r>
          </w:p>
        </w:tc>
      </w:tr>
      <w:tr w:rsidR="00161321" w:rsidRPr="00E21717" w14:paraId="4A5359DF" w14:textId="77777777" w:rsidTr="00B86BE9">
        <w:trPr>
          <w:trHeight w:val="282"/>
        </w:trPr>
        <w:tc>
          <w:tcPr>
            <w:tcW w:w="3031" w:type="dxa"/>
            <w:tcBorders>
              <w:top w:val="nil"/>
              <w:left w:val="nil"/>
              <w:bottom w:val="nil"/>
              <w:right w:val="nil"/>
            </w:tcBorders>
            <w:shd w:val="clear" w:color="auto" w:fill="auto"/>
            <w:noWrap/>
            <w:vAlign w:val="center"/>
            <w:hideMark/>
          </w:tcPr>
          <w:p w14:paraId="5741781F" w14:textId="77777777" w:rsidR="00161321" w:rsidRPr="00E21717" w:rsidRDefault="00161321" w:rsidP="00B86BE9">
            <w:pPr>
              <w:rPr>
                <w:rFonts w:ascii="dcr10" w:eastAsia="Times New Roman" w:hAnsi="dcr10" w:cs="Times New Roman"/>
                <w:color w:val="000000"/>
                <w:sz w:val="18"/>
                <w:szCs w:val="18"/>
              </w:rPr>
            </w:pPr>
            <w:r w:rsidRPr="00E21717">
              <w:rPr>
                <w:rFonts w:ascii="dcr10" w:eastAsia="Times New Roman" w:hAnsi="dcr10" w:cs="Times New Roman"/>
                <w:bCs/>
                <w:color w:val="000000"/>
                <w:sz w:val="18"/>
                <w:szCs w:val="18"/>
              </w:rPr>
              <w:t xml:space="preserve">Mizuho Financial Group </w:t>
            </w:r>
          </w:p>
        </w:tc>
        <w:tc>
          <w:tcPr>
            <w:tcW w:w="1879" w:type="dxa"/>
            <w:tcBorders>
              <w:top w:val="nil"/>
              <w:left w:val="nil"/>
              <w:bottom w:val="nil"/>
              <w:right w:val="nil"/>
            </w:tcBorders>
            <w:shd w:val="clear" w:color="auto" w:fill="auto"/>
            <w:noWrap/>
            <w:vAlign w:val="center"/>
            <w:hideMark/>
          </w:tcPr>
          <w:p w14:paraId="05AA20FF"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1.56</w:t>
            </w:r>
          </w:p>
        </w:tc>
        <w:tc>
          <w:tcPr>
            <w:tcW w:w="2041" w:type="dxa"/>
            <w:tcBorders>
              <w:top w:val="nil"/>
              <w:left w:val="nil"/>
              <w:bottom w:val="nil"/>
              <w:right w:val="nil"/>
            </w:tcBorders>
            <w:shd w:val="clear" w:color="auto" w:fill="auto"/>
            <w:noWrap/>
            <w:vAlign w:val="center"/>
            <w:hideMark/>
          </w:tcPr>
          <w:p w14:paraId="6AC0810B"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1.24</w:t>
            </w:r>
          </w:p>
        </w:tc>
        <w:tc>
          <w:tcPr>
            <w:tcW w:w="1536" w:type="dxa"/>
            <w:tcBorders>
              <w:top w:val="nil"/>
              <w:left w:val="nil"/>
              <w:bottom w:val="nil"/>
              <w:right w:val="nil"/>
            </w:tcBorders>
            <w:shd w:val="clear" w:color="auto" w:fill="auto"/>
            <w:noWrap/>
            <w:vAlign w:val="center"/>
            <w:hideMark/>
          </w:tcPr>
          <w:p w14:paraId="76237BDA"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1.16</w:t>
            </w:r>
          </w:p>
        </w:tc>
      </w:tr>
      <w:tr w:rsidR="00161321" w:rsidRPr="00E21717" w14:paraId="1BFE8CE0" w14:textId="77777777" w:rsidTr="00B86BE9">
        <w:trPr>
          <w:trHeight w:val="302"/>
        </w:trPr>
        <w:tc>
          <w:tcPr>
            <w:tcW w:w="3031" w:type="dxa"/>
            <w:tcBorders>
              <w:top w:val="nil"/>
              <w:left w:val="nil"/>
              <w:bottom w:val="nil"/>
              <w:right w:val="nil"/>
            </w:tcBorders>
            <w:shd w:val="clear" w:color="auto" w:fill="auto"/>
            <w:noWrap/>
            <w:vAlign w:val="center"/>
            <w:hideMark/>
          </w:tcPr>
          <w:p w14:paraId="7AABADA1" w14:textId="77777777" w:rsidR="00161321" w:rsidRPr="00E21717" w:rsidRDefault="00161321" w:rsidP="00B86BE9">
            <w:pPr>
              <w:rPr>
                <w:rFonts w:ascii="dcr10" w:eastAsia="Times New Roman" w:hAnsi="dcr10" w:cs="Times New Roman"/>
                <w:color w:val="000000"/>
                <w:sz w:val="18"/>
                <w:szCs w:val="18"/>
              </w:rPr>
            </w:pPr>
            <w:proofErr w:type="spellStart"/>
            <w:r w:rsidRPr="00E21717">
              <w:rPr>
                <w:rFonts w:ascii="dcr10" w:eastAsia="Times New Roman" w:hAnsi="dcr10" w:cs="Times New Roman"/>
                <w:color w:val="000000"/>
                <w:sz w:val="18"/>
                <w:szCs w:val="18"/>
              </w:rPr>
              <w:t>Natixis</w:t>
            </w:r>
            <w:proofErr w:type="spellEnd"/>
          </w:p>
        </w:tc>
        <w:tc>
          <w:tcPr>
            <w:tcW w:w="1879" w:type="dxa"/>
            <w:tcBorders>
              <w:top w:val="nil"/>
              <w:left w:val="nil"/>
              <w:bottom w:val="nil"/>
              <w:right w:val="nil"/>
            </w:tcBorders>
            <w:shd w:val="clear" w:color="auto" w:fill="auto"/>
            <w:noWrap/>
            <w:vAlign w:val="center"/>
            <w:hideMark/>
          </w:tcPr>
          <w:p w14:paraId="2730EFBA"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0.39</w:t>
            </w:r>
          </w:p>
        </w:tc>
        <w:tc>
          <w:tcPr>
            <w:tcW w:w="2041" w:type="dxa"/>
            <w:tcBorders>
              <w:top w:val="nil"/>
              <w:left w:val="nil"/>
              <w:bottom w:val="nil"/>
              <w:right w:val="nil"/>
            </w:tcBorders>
            <w:shd w:val="clear" w:color="auto" w:fill="auto"/>
            <w:noWrap/>
            <w:vAlign w:val="center"/>
            <w:hideMark/>
          </w:tcPr>
          <w:p w14:paraId="1B697E53"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1.21</w:t>
            </w:r>
          </w:p>
        </w:tc>
        <w:tc>
          <w:tcPr>
            <w:tcW w:w="1536" w:type="dxa"/>
            <w:tcBorders>
              <w:top w:val="nil"/>
              <w:left w:val="nil"/>
              <w:bottom w:val="nil"/>
              <w:right w:val="nil"/>
            </w:tcBorders>
            <w:shd w:val="clear" w:color="auto" w:fill="auto"/>
            <w:noWrap/>
            <w:vAlign w:val="center"/>
            <w:hideMark/>
          </w:tcPr>
          <w:p w14:paraId="39200221"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1.14</w:t>
            </w:r>
          </w:p>
        </w:tc>
      </w:tr>
      <w:tr w:rsidR="00161321" w:rsidRPr="00E21717" w14:paraId="11EA1B7B" w14:textId="77777777" w:rsidTr="00B86BE9">
        <w:trPr>
          <w:trHeight w:val="302"/>
        </w:trPr>
        <w:tc>
          <w:tcPr>
            <w:tcW w:w="3031" w:type="dxa"/>
            <w:tcBorders>
              <w:top w:val="nil"/>
              <w:left w:val="nil"/>
              <w:bottom w:val="nil"/>
              <w:right w:val="nil"/>
            </w:tcBorders>
            <w:shd w:val="clear" w:color="auto" w:fill="auto"/>
            <w:noWrap/>
            <w:vAlign w:val="center"/>
            <w:hideMark/>
          </w:tcPr>
          <w:p w14:paraId="0F6F1B89" w14:textId="77777777" w:rsidR="00161321" w:rsidRPr="00E21717" w:rsidRDefault="00161321" w:rsidP="00B86BE9">
            <w:pPr>
              <w:rPr>
                <w:rFonts w:ascii="dcr10" w:eastAsia="Times New Roman" w:hAnsi="dcr10" w:cs="Times New Roman"/>
                <w:color w:val="000000"/>
                <w:sz w:val="18"/>
                <w:szCs w:val="18"/>
              </w:rPr>
            </w:pPr>
            <w:r w:rsidRPr="00E21717">
              <w:rPr>
                <w:rFonts w:ascii="dcr10" w:eastAsia="Times New Roman" w:hAnsi="dcr10" w:cs="Times New Roman"/>
                <w:bCs/>
                <w:color w:val="000000"/>
                <w:sz w:val="18"/>
                <w:szCs w:val="18"/>
              </w:rPr>
              <w:t xml:space="preserve">National Australia Bank </w:t>
            </w:r>
          </w:p>
        </w:tc>
        <w:tc>
          <w:tcPr>
            <w:tcW w:w="1879" w:type="dxa"/>
            <w:tcBorders>
              <w:top w:val="nil"/>
              <w:left w:val="nil"/>
              <w:bottom w:val="nil"/>
              <w:right w:val="nil"/>
            </w:tcBorders>
            <w:shd w:val="clear" w:color="auto" w:fill="auto"/>
            <w:noWrap/>
            <w:vAlign w:val="center"/>
            <w:hideMark/>
          </w:tcPr>
          <w:p w14:paraId="3480060D"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0.47</w:t>
            </w:r>
          </w:p>
        </w:tc>
        <w:tc>
          <w:tcPr>
            <w:tcW w:w="2041" w:type="dxa"/>
            <w:tcBorders>
              <w:top w:val="nil"/>
              <w:left w:val="nil"/>
              <w:bottom w:val="nil"/>
              <w:right w:val="nil"/>
            </w:tcBorders>
            <w:shd w:val="clear" w:color="auto" w:fill="auto"/>
            <w:noWrap/>
            <w:vAlign w:val="center"/>
            <w:hideMark/>
          </w:tcPr>
          <w:p w14:paraId="2E74EBCD"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0.69</w:t>
            </w:r>
          </w:p>
        </w:tc>
        <w:tc>
          <w:tcPr>
            <w:tcW w:w="1536" w:type="dxa"/>
            <w:tcBorders>
              <w:top w:val="nil"/>
              <w:left w:val="nil"/>
              <w:bottom w:val="nil"/>
              <w:right w:val="nil"/>
            </w:tcBorders>
            <w:shd w:val="clear" w:color="auto" w:fill="auto"/>
            <w:noWrap/>
            <w:vAlign w:val="center"/>
            <w:hideMark/>
          </w:tcPr>
          <w:p w14:paraId="5686F176"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0.65</w:t>
            </w:r>
          </w:p>
        </w:tc>
      </w:tr>
      <w:tr w:rsidR="00161321" w:rsidRPr="00E21717" w14:paraId="57CB195E" w14:textId="77777777" w:rsidTr="00B86BE9">
        <w:trPr>
          <w:trHeight w:val="302"/>
        </w:trPr>
        <w:tc>
          <w:tcPr>
            <w:tcW w:w="3031" w:type="dxa"/>
            <w:tcBorders>
              <w:top w:val="nil"/>
              <w:left w:val="nil"/>
              <w:bottom w:val="nil"/>
              <w:right w:val="nil"/>
            </w:tcBorders>
            <w:shd w:val="clear" w:color="auto" w:fill="auto"/>
            <w:noWrap/>
            <w:vAlign w:val="center"/>
            <w:hideMark/>
          </w:tcPr>
          <w:p w14:paraId="5D2CE877" w14:textId="77777777" w:rsidR="00161321" w:rsidRPr="00E21717" w:rsidRDefault="00161321" w:rsidP="00B86BE9">
            <w:pPr>
              <w:rPr>
                <w:rFonts w:ascii="dcr10" w:eastAsia="Times New Roman" w:hAnsi="dcr10" w:cs="Times New Roman"/>
                <w:color w:val="000000"/>
                <w:sz w:val="18"/>
                <w:szCs w:val="18"/>
              </w:rPr>
            </w:pPr>
            <w:proofErr w:type="spellStart"/>
            <w:r w:rsidRPr="00E21717">
              <w:rPr>
                <w:rFonts w:ascii="dcr10" w:eastAsia="Times New Roman" w:hAnsi="dcr10" w:cs="Times New Roman"/>
                <w:color w:val="000000"/>
                <w:sz w:val="18"/>
                <w:szCs w:val="18"/>
              </w:rPr>
              <w:t>Nordea</w:t>
            </w:r>
            <w:proofErr w:type="spellEnd"/>
            <w:r w:rsidRPr="00E21717">
              <w:rPr>
                <w:rFonts w:ascii="dcr10" w:eastAsia="Times New Roman" w:hAnsi="dcr10" w:cs="Times New Roman"/>
                <w:color w:val="000000"/>
                <w:sz w:val="18"/>
                <w:szCs w:val="18"/>
              </w:rPr>
              <w:t xml:space="preserve"> Bank </w:t>
            </w:r>
          </w:p>
        </w:tc>
        <w:tc>
          <w:tcPr>
            <w:tcW w:w="1879" w:type="dxa"/>
            <w:tcBorders>
              <w:top w:val="nil"/>
              <w:left w:val="nil"/>
              <w:bottom w:val="nil"/>
              <w:right w:val="nil"/>
            </w:tcBorders>
            <w:shd w:val="clear" w:color="auto" w:fill="auto"/>
            <w:noWrap/>
            <w:vAlign w:val="center"/>
            <w:hideMark/>
          </w:tcPr>
          <w:p w14:paraId="1EDF1292"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0.57</w:t>
            </w:r>
          </w:p>
        </w:tc>
        <w:tc>
          <w:tcPr>
            <w:tcW w:w="2041" w:type="dxa"/>
            <w:tcBorders>
              <w:top w:val="nil"/>
              <w:left w:val="nil"/>
              <w:bottom w:val="nil"/>
              <w:right w:val="nil"/>
            </w:tcBorders>
            <w:shd w:val="clear" w:color="auto" w:fill="auto"/>
            <w:noWrap/>
            <w:vAlign w:val="center"/>
            <w:hideMark/>
          </w:tcPr>
          <w:p w14:paraId="6ED82FBF"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0.79</w:t>
            </w:r>
          </w:p>
        </w:tc>
        <w:tc>
          <w:tcPr>
            <w:tcW w:w="1536" w:type="dxa"/>
            <w:tcBorders>
              <w:top w:val="nil"/>
              <w:left w:val="nil"/>
              <w:bottom w:val="nil"/>
              <w:right w:val="nil"/>
            </w:tcBorders>
            <w:shd w:val="clear" w:color="auto" w:fill="auto"/>
            <w:noWrap/>
            <w:vAlign w:val="center"/>
            <w:hideMark/>
          </w:tcPr>
          <w:p w14:paraId="76ACA1E1"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0.76</w:t>
            </w:r>
          </w:p>
        </w:tc>
      </w:tr>
      <w:tr w:rsidR="00161321" w:rsidRPr="00E21717" w14:paraId="7FCE7DDC" w14:textId="77777777" w:rsidTr="00B86BE9">
        <w:trPr>
          <w:trHeight w:val="302"/>
        </w:trPr>
        <w:tc>
          <w:tcPr>
            <w:tcW w:w="3031" w:type="dxa"/>
            <w:tcBorders>
              <w:top w:val="nil"/>
              <w:left w:val="nil"/>
              <w:bottom w:val="nil"/>
              <w:right w:val="nil"/>
            </w:tcBorders>
            <w:shd w:val="clear" w:color="auto" w:fill="auto"/>
            <w:noWrap/>
            <w:vAlign w:val="center"/>
            <w:hideMark/>
          </w:tcPr>
          <w:p w14:paraId="259902E4" w14:textId="77777777" w:rsidR="00161321" w:rsidRPr="00E21717" w:rsidRDefault="00161321" w:rsidP="00B86BE9">
            <w:pPr>
              <w:rPr>
                <w:rFonts w:ascii="dcr10" w:eastAsia="Times New Roman" w:hAnsi="dcr10" w:cs="Times New Roman"/>
                <w:color w:val="000000"/>
                <w:sz w:val="18"/>
                <w:szCs w:val="18"/>
              </w:rPr>
            </w:pPr>
            <w:r w:rsidRPr="00E21717">
              <w:rPr>
                <w:rFonts w:ascii="dcr10" w:eastAsia="Times New Roman" w:hAnsi="dcr10" w:cs="Times New Roman"/>
                <w:bCs/>
                <w:color w:val="000000"/>
                <w:sz w:val="18"/>
                <w:szCs w:val="18"/>
              </w:rPr>
              <w:t>Bank of Nova Scotia</w:t>
            </w:r>
          </w:p>
        </w:tc>
        <w:tc>
          <w:tcPr>
            <w:tcW w:w="1879" w:type="dxa"/>
            <w:tcBorders>
              <w:top w:val="nil"/>
              <w:left w:val="nil"/>
              <w:bottom w:val="nil"/>
              <w:right w:val="nil"/>
            </w:tcBorders>
            <w:shd w:val="clear" w:color="auto" w:fill="auto"/>
            <w:noWrap/>
            <w:vAlign w:val="center"/>
            <w:hideMark/>
          </w:tcPr>
          <w:p w14:paraId="7A10B333"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0.41</w:t>
            </w:r>
          </w:p>
        </w:tc>
        <w:tc>
          <w:tcPr>
            <w:tcW w:w="2041" w:type="dxa"/>
            <w:tcBorders>
              <w:top w:val="nil"/>
              <w:left w:val="nil"/>
              <w:bottom w:val="nil"/>
              <w:right w:val="nil"/>
            </w:tcBorders>
            <w:shd w:val="clear" w:color="auto" w:fill="auto"/>
            <w:noWrap/>
            <w:vAlign w:val="center"/>
            <w:hideMark/>
          </w:tcPr>
          <w:p w14:paraId="6DB7AB94"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0.55</w:t>
            </w:r>
          </w:p>
        </w:tc>
        <w:tc>
          <w:tcPr>
            <w:tcW w:w="1536" w:type="dxa"/>
            <w:tcBorders>
              <w:top w:val="nil"/>
              <w:left w:val="nil"/>
              <w:bottom w:val="nil"/>
              <w:right w:val="nil"/>
            </w:tcBorders>
            <w:shd w:val="clear" w:color="auto" w:fill="auto"/>
            <w:noWrap/>
            <w:vAlign w:val="center"/>
            <w:hideMark/>
          </w:tcPr>
          <w:p w14:paraId="3A3E36F1"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0.59</w:t>
            </w:r>
          </w:p>
        </w:tc>
      </w:tr>
      <w:tr w:rsidR="00161321" w:rsidRPr="00E21717" w14:paraId="05DBA20A" w14:textId="77777777" w:rsidTr="00B86BE9">
        <w:trPr>
          <w:trHeight w:val="302"/>
        </w:trPr>
        <w:tc>
          <w:tcPr>
            <w:tcW w:w="3031" w:type="dxa"/>
            <w:tcBorders>
              <w:top w:val="nil"/>
              <w:left w:val="nil"/>
              <w:bottom w:val="nil"/>
              <w:right w:val="nil"/>
            </w:tcBorders>
            <w:shd w:val="clear" w:color="auto" w:fill="auto"/>
            <w:noWrap/>
            <w:vAlign w:val="center"/>
            <w:hideMark/>
          </w:tcPr>
          <w:p w14:paraId="2FBF579C" w14:textId="77777777" w:rsidR="00161321" w:rsidRPr="00E21717" w:rsidRDefault="00161321" w:rsidP="00B86BE9">
            <w:pP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 xml:space="preserve">Royal Bank of Canada </w:t>
            </w:r>
          </w:p>
        </w:tc>
        <w:tc>
          <w:tcPr>
            <w:tcW w:w="1879" w:type="dxa"/>
            <w:tcBorders>
              <w:top w:val="nil"/>
              <w:left w:val="nil"/>
              <w:bottom w:val="nil"/>
              <w:right w:val="nil"/>
            </w:tcBorders>
            <w:shd w:val="clear" w:color="auto" w:fill="auto"/>
            <w:noWrap/>
            <w:vAlign w:val="center"/>
            <w:hideMark/>
          </w:tcPr>
          <w:p w14:paraId="5A90CAB8"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0.36</w:t>
            </w:r>
          </w:p>
        </w:tc>
        <w:tc>
          <w:tcPr>
            <w:tcW w:w="2041" w:type="dxa"/>
            <w:tcBorders>
              <w:top w:val="nil"/>
              <w:left w:val="nil"/>
              <w:bottom w:val="nil"/>
              <w:right w:val="nil"/>
            </w:tcBorders>
            <w:shd w:val="clear" w:color="auto" w:fill="auto"/>
            <w:noWrap/>
            <w:vAlign w:val="center"/>
            <w:hideMark/>
          </w:tcPr>
          <w:p w14:paraId="7FBDE6E2"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0.57</w:t>
            </w:r>
          </w:p>
        </w:tc>
        <w:tc>
          <w:tcPr>
            <w:tcW w:w="1536" w:type="dxa"/>
            <w:tcBorders>
              <w:top w:val="nil"/>
              <w:left w:val="nil"/>
              <w:bottom w:val="nil"/>
              <w:right w:val="nil"/>
            </w:tcBorders>
            <w:shd w:val="clear" w:color="auto" w:fill="auto"/>
            <w:noWrap/>
            <w:vAlign w:val="center"/>
            <w:hideMark/>
          </w:tcPr>
          <w:p w14:paraId="334F577A"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0.54</w:t>
            </w:r>
          </w:p>
        </w:tc>
      </w:tr>
      <w:tr w:rsidR="00161321" w:rsidRPr="00E21717" w14:paraId="42F793D5" w14:textId="77777777" w:rsidTr="00B86BE9">
        <w:trPr>
          <w:trHeight w:val="302"/>
        </w:trPr>
        <w:tc>
          <w:tcPr>
            <w:tcW w:w="3031" w:type="dxa"/>
            <w:tcBorders>
              <w:top w:val="nil"/>
              <w:left w:val="nil"/>
              <w:bottom w:val="nil"/>
              <w:right w:val="nil"/>
            </w:tcBorders>
            <w:shd w:val="clear" w:color="auto" w:fill="auto"/>
            <w:noWrap/>
            <w:vAlign w:val="center"/>
            <w:hideMark/>
          </w:tcPr>
          <w:p w14:paraId="55E40E62" w14:textId="77777777" w:rsidR="00161321" w:rsidRPr="00E21717" w:rsidRDefault="00161321" w:rsidP="00B86BE9">
            <w:pPr>
              <w:rPr>
                <w:rFonts w:ascii="dcr10" w:eastAsia="Times New Roman" w:hAnsi="dcr10" w:cs="Times New Roman"/>
                <w:color w:val="000000"/>
                <w:sz w:val="18"/>
                <w:szCs w:val="18"/>
              </w:rPr>
            </w:pPr>
            <w:r w:rsidRPr="00E21717">
              <w:rPr>
                <w:rFonts w:ascii="dcr10" w:eastAsia="Times New Roman" w:hAnsi="dcr10" w:cs="Times New Roman"/>
                <w:bCs/>
                <w:color w:val="000000"/>
                <w:sz w:val="18"/>
                <w:szCs w:val="18"/>
              </w:rPr>
              <w:t xml:space="preserve">Royal Bank of Scotland </w:t>
            </w:r>
          </w:p>
        </w:tc>
        <w:tc>
          <w:tcPr>
            <w:tcW w:w="1879" w:type="dxa"/>
            <w:tcBorders>
              <w:top w:val="nil"/>
              <w:left w:val="nil"/>
              <w:bottom w:val="nil"/>
              <w:right w:val="nil"/>
            </w:tcBorders>
            <w:shd w:val="clear" w:color="auto" w:fill="auto"/>
            <w:noWrap/>
            <w:vAlign w:val="center"/>
            <w:hideMark/>
          </w:tcPr>
          <w:p w14:paraId="29089AA6"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0.90</w:t>
            </w:r>
          </w:p>
        </w:tc>
        <w:tc>
          <w:tcPr>
            <w:tcW w:w="2041" w:type="dxa"/>
            <w:tcBorders>
              <w:top w:val="nil"/>
              <w:left w:val="nil"/>
              <w:bottom w:val="nil"/>
              <w:right w:val="nil"/>
            </w:tcBorders>
            <w:shd w:val="clear" w:color="auto" w:fill="auto"/>
            <w:noWrap/>
            <w:vAlign w:val="center"/>
            <w:hideMark/>
          </w:tcPr>
          <w:p w14:paraId="4A218C00"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1.61</w:t>
            </w:r>
          </w:p>
        </w:tc>
        <w:tc>
          <w:tcPr>
            <w:tcW w:w="1536" w:type="dxa"/>
            <w:tcBorders>
              <w:top w:val="nil"/>
              <w:left w:val="nil"/>
              <w:bottom w:val="nil"/>
              <w:right w:val="nil"/>
            </w:tcBorders>
            <w:shd w:val="clear" w:color="auto" w:fill="auto"/>
            <w:noWrap/>
            <w:vAlign w:val="center"/>
            <w:hideMark/>
          </w:tcPr>
          <w:p w14:paraId="0404B099"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1.43</w:t>
            </w:r>
          </w:p>
        </w:tc>
      </w:tr>
      <w:tr w:rsidR="00161321" w:rsidRPr="00E21717" w14:paraId="090DEF6F" w14:textId="77777777" w:rsidTr="00B86BE9">
        <w:trPr>
          <w:trHeight w:val="302"/>
        </w:trPr>
        <w:tc>
          <w:tcPr>
            <w:tcW w:w="3031" w:type="dxa"/>
            <w:tcBorders>
              <w:top w:val="nil"/>
              <w:left w:val="nil"/>
              <w:bottom w:val="nil"/>
              <w:right w:val="nil"/>
            </w:tcBorders>
            <w:shd w:val="clear" w:color="auto" w:fill="auto"/>
            <w:noWrap/>
            <w:vAlign w:val="center"/>
            <w:hideMark/>
          </w:tcPr>
          <w:p w14:paraId="2EEF1956" w14:textId="77777777" w:rsidR="00161321" w:rsidRPr="00E21717" w:rsidRDefault="00161321" w:rsidP="00B86BE9">
            <w:pPr>
              <w:rPr>
                <w:rFonts w:ascii="dcr10" w:eastAsia="Times New Roman" w:hAnsi="dcr10" w:cs="Times New Roman"/>
                <w:color w:val="000000"/>
                <w:sz w:val="18"/>
                <w:szCs w:val="18"/>
              </w:rPr>
            </w:pPr>
            <w:proofErr w:type="spellStart"/>
            <w:r w:rsidRPr="00E21717">
              <w:rPr>
                <w:rFonts w:ascii="dcr10" w:eastAsia="Times New Roman" w:hAnsi="dcr10" w:cs="Times New Roman"/>
                <w:color w:val="000000"/>
                <w:sz w:val="18"/>
                <w:szCs w:val="18"/>
              </w:rPr>
              <w:t>Banco</w:t>
            </w:r>
            <w:proofErr w:type="spellEnd"/>
            <w:r w:rsidRPr="00E21717">
              <w:rPr>
                <w:rFonts w:ascii="dcr10" w:eastAsia="Times New Roman" w:hAnsi="dcr10" w:cs="Times New Roman"/>
                <w:color w:val="000000"/>
                <w:sz w:val="18"/>
                <w:szCs w:val="18"/>
              </w:rPr>
              <w:t xml:space="preserve"> Santander</w:t>
            </w:r>
          </w:p>
        </w:tc>
        <w:tc>
          <w:tcPr>
            <w:tcW w:w="1879" w:type="dxa"/>
            <w:tcBorders>
              <w:top w:val="nil"/>
              <w:left w:val="nil"/>
              <w:bottom w:val="nil"/>
              <w:right w:val="nil"/>
            </w:tcBorders>
            <w:shd w:val="clear" w:color="auto" w:fill="auto"/>
            <w:noWrap/>
            <w:vAlign w:val="center"/>
            <w:hideMark/>
          </w:tcPr>
          <w:p w14:paraId="25ABD29C"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1.03</w:t>
            </w:r>
          </w:p>
        </w:tc>
        <w:tc>
          <w:tcPr>
            <w:tcW w:w="2041" w:type="dxa"/>
            <w:tcBorders>
              <w:top w:val="nil"/>
              <w:left w:val="nil"/>
              <w:bottom w:val="nil"/>
              <w:right w:val="nil"/>
            </w:tcBorders>
            <w:shd w:val="clear" w:color="auto" w:fill="auto"/>
            <w:noWrap/>
            <w:vAlign w:val="center"/>
            <w:hideMark/>
          </w:tcPr>
          <w:p w14:paraId="4BBB6065"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1.06</w:t>
            </w:r>
          </w:p>
        </w:tc>
        <w:tc>
          <w:tcPr>
            <w:tcW w:w="1536" w:type="dxa"/>
            <w:tcBorders>
              <w:top w:val="nil"/>
              <w:left w:val="nil"/>
              <w:bottom w:val="nil"/>
              <w:right w:val="nil"/>
            </w:tcBorders>
            <w:shd w:val="clear" w:color="auto" w:fill="auto"/>
            <w:noWrap/>
            <w:vAlign w:val="center"/>
            <w:hideMark/>
          </w:tcPr>
          <w:p w14:paraId="6E6DE598"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1.01</w:t>
            </w:r>
          </w:p>
        </w:tc>
      </w:tr>
      <w:tr w:rsidR="00161321" w:rsidRPr="00E21717" w14:paraId="3A608F5E" w14:textId="77777777" w:rsidTr="00B86BE9">
        <w:trPr>
          <w:trHeight w:val="302"/>
        </w:trPr>
        <w:tc>
          <w:tcPr>
            <w:tcW w:w="3031" w:type="dxa"/>
            <w:tcBorders>
              <w:top w:val="nil"/>
              <w:left w:val="nil"/>
              <w:bottom w:val="nil"/>
              <w:right w:val="nil"/>
            </w:tcBorders>
            <w:shd w:val="clear" w:color="auto" w:fill="auto"/>
            <w:noWrap/>
            <w:vAlign w:val="center"/>
            <w:hideMark/>
          </w:tcPr>
          <w:p w14:paraId="76A7287F" w14:textId="77777777" w:rsidR="00161321" w:rsidRPr="00E21717" w:rsidRDefault="00161321" w:rsidP="00B86BE9">
            <w:pPr>
              <w:rPr>
                <w:rFonts w:ascii="dcr10" w:eastAsia="Times New Roman" w:hAnsi="dcr10" w:cs="Times New Roman"/>
                <w:color w:val="000000"/>
                <w:sz w:val="18"/>
                <w:szCs w:val="18"/>
              </w:rPr>
            </w:pPr>
            <w:proofErr w:type="spellStart"/>
            <w:r w:rsidRPr="00E21717">
              <w:rPr>
                <w:rFonts w:ascii="dcr10" w:eastAsia="Times New Roman" w:hAnsi="dcr10" w:cs="Times New Roman"/>
                <w:bCs/>
                <w:color w:val="000000"/>
                <w:sz w:val="18"/>
                <w:szCs w:val="18"/>
              </w:rPr>
              <w:t>Societe</w:t>
            </w:r>
            <w:proofErr w:type="spellEnd"/>
            <w:r w:rsidRPr="00E21717">
              <w:rPr>
                <w:rFonts w:ascii="dcr10" w:eastAsia="Times New Roman" w:hAnsi="dcr10" w:cs="Times New Roman"/>
                <w:bCs/>
                <w:color w:val="000000"/>
                <w:sz w:val="18"/>
                <w:szCs w:val="18"/>
              </w:rPr>
              <w:t xml:space="preserve"> </w:t>
            </w:r>
            <w:proofErr w:type="spellStart"/>
            <w:r w:rsidRPr="00E21717">
              <w:rPr>
                <w:rFonts w:ascii="dcr10" w:eastAsia="Times New Roman" w:hAnsi="dcr10" w:cs="Times New Roman"/>
                <w:bCs/>
                <w:color w:val="000000"/>
                <w:sz w:val="18"/>
                <w:szCs w:val="18"/>
              </w:rPr>
              <w:t>Generale</w:t>
            </w:r>
            <w:proofErr w:type="spellEnd"/>
            <w:r w:rsidRPr="00E21717">
              <w:rPr>
                <w:rFonts w:ascii="dcr10" w:eastAsia="Times New Roman" w:hAnsi="dcr10" w:cs="Times New Roman"/>
                <w:bCs/>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05C992AA"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1.10</w:t>
            </w:r>
          </w:p>
        </w:tc>
        <w:tc>
          <w:tcPr>
            <w:tcW w:w="2041" w:type="dxa"/>
            <w:tcBorders>
              <w:top w:val="nil"/>
              <w:left w:val="nil"/>
              <w:bottom w:val="nil"/>
              <w:right w:val="nil"/>
            </w:tcBorders>
            <w:shd w:val="clear" w:color="auto" w:fill="auto"/>
            <w:noWrap/>
            <w:vAlign w:val="center"/>
            <w:hideMark/>
          </w:tcPr>
          <w:p w14:paraId="210C476C"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1.58</w:t>
            </w:r>
          </w:p>
        </w:tc>
        <w:tc>
          <w:tcPr>
            <w:tcW w:w="1536" w:type="dxa"/>
            <w:tcBorders>
              <w:top w:val="nil"/>
              <w:left w:val="nil"/>
              <w:bottom w:val="nil"/>
              <w:right w:val="nil"/>
            </w:tcBorders>
            <w:shd w:val="clear" w:color="auto" w:fill="auto"/>
            <w:noWrap/>
            <w:vAlign w:val="center"/>
            <w:hideMark/>
          </w:tcPr>
          <w:p w14:paraId="6F1CAE88"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1.59</w:t>
            </w:r>
          </w:p>
        </w:tc>
      </w:tr>
      <w:tr w:rsidR="00161321" w:rsidRPr="00E21717" w14:paraId="6AD6F816" w14:textId="77777777" w:rsidTr="00B86BE9">
        <w:trPr>
          <w:trHeight w:val="302"/>
        </w:trPr>
        <w:tc>
          <w:tcPr>
            <w:tcW w:w="3031" w:type="dxa"/>
            <w:tcBorders>
              <w:top w:val="nil"/>
              <w:left w:val="nil"/>
              <w:bottom w:val="nil"/>
              <w:right w:val="nil"/>
            </w:tcBorders>
            <w:shd w:val="clear" w:color="auto" w:fill="auto"/>
            <w:noWrap/>
            <w:vAlign w:val="center"/>
            <w:hideMark/>
          </w:tcPr>
          <w:p w14:paraId="2568DBA5" w14:textId="77777777" w:rsidR="00161321" w:rsidRPr="00E21717" w:rsidRDefault="00161321" w:rsidP="00B86BE9">
            <w:pPr>
              <w:rPr>
                <w:rFonts w:ascii="dcr10" w:eastAsia="Times New Roman" w:hAnsi="dcr10" w:cs="Times New Roman"/>
                <w:color w:val="000000"/>
                <w:sz w:val="18"/>
                <w:szCs w:val="18"/>
              </w:rPr>
            </w:pPr>
            <w:proofErr w:type="spellStart"/>
            <w:r w:rsidRPr="00E21717">
              <w:rPr>
                <w:rFonts w:ascii="dcr10" w:eastAsia="Times New Roman" w:hAnsi="dcr10" w:cs="Times New Roman"/>
                <w:color w:val="000000"/>
                <w:sz w:val="18"/>
                <w:szCs w:val="18"/>
              </w:rPr>
              <w:t>Standered</w:t>
            </w:r>
            <w:proofErr w:type="spellEnd"/>
            <w:r w:rsidRPr="00E21717">
              <w:rPr>
                <w:rFonts w:ascii="dcr10" w:eastAsia="Times New Roman" w:hAnsi="dcr10" w:cs="Times New Roman"/>
                <w:color w:val="000000"/>
                <w:sz w:val="18"/>
                <w:szCs w:val="18"/>
              </w:rPr>
              <w:t xml:space="preserve"> Chartered </w:t>
            </w:r>
          </w:p>
        </w:tc>
        <w:tc>
          <w:tcPr>
            <w:tcW w:w="1879" w:type="dxa"/>
            <w:tcBorders>
              <w:top w:val="nil"/>
              <w:left w:val="nil"/>
              <w:bottom w:val="nil"/>
              <w:right w:val="nil"/>
            </w:tcBorders>
            <w:shd w:val="clear" w:color="auto" w:fill="auto"/>
            <w:noWrap/>
            <w:vAlign w:val="center"/>
            <w:hideMark/>
          </w:tcPr>
          <w:p w14:paraId="42BF2242"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0.96</w:t>
            </w:r>
          </w:p>
        </w:tc>
        <w:tc>
          <w:tcPr>
            <w:tcW w:w="2041" w:type="dxa"/>
            <w:tcBorders>
              <w:top w:val="nil"/>
              <w:left w:val="nil"/>
              <w:bottom w:val="nil"/>
              <w:right w:val="nil"/>
            </w:tcBorders>
            <w:shd w:val="clear" w:color="auto" w:fill="auto"/>
            <w:noWrap/>
            <w:vAlign w:val="center"/>
            <w:hideMark/>
          </w:tcPr>
          <w:p w14:paraId="3992053C"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1.04</w:t>
            </w:r>
          </w:p>
        </w:tc>
        <w:tc>
          <w:tcPr>
            <w:tcW w:w="1536" w:type="dxa"/>
            <w:tcBorders>
              <w:top w:val="nil"/>
              <w:left w:val="nil"/>
              <w:bottom w:val="nil"/>
              <w:right w:val="nil"/>
            </w:tcBorders>
            <w:shd w:val="clear" w:color="auto" w:fill="auto"/>
            <w:noWrap/>
            <w:vAlign w:val="center"/>
            <w:hideMark/>
          </w:tcPr>
          <w:p w14:paraId="31DF9EAC"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0.89</w:t>
            </w:r>
          </w:p>
        </w:tc>
      </w:tr>
      <w:tr w:rsidR="00161321" w:rsidRPr="00E21717" w14:paraId="529BDB5C" w14:textId="77777777" w:rsidTr="00B86BE9">
        <w:trPr>
          <w:trHeight w:val="302"/>
        </w:trPr>
        <w:tc>
          <w:tcPr>
            <w:tcW w:w="3031" w:type="dxa"/>
            <w:tcBorders>
              <w:top w:val="nil"/>
              <w:left w:val="nil"/>
              <w:bottom w:val="nil"/>
              <w:right w:val="nil"/>
            </w:tcBorders>
            <w:shd w:val="clear" w:color="auto" w:fill="auto"/>
            <w:noWrap/>
            <w:vAlign w:val="center"/>
            <w:hideMark/>
          </w:tcPr>
          <w:p w14:paraId="53F84865" w14:textId="77777777" w:rsidR="00161321" w:rsidRPr="00E21717" w:rsidRDefault="00161321" w:rsidP="00B86BE9">
            <w:pPr>
              <w:rPr>
                <w:rFonts w:ascii="dcr10" w:eastAsia="Times New Roman" w:hAnsi="dcr10" w:cs="Times New Roman"/>
                <w:color w:val="000000"/>
                <w:sz w:val="18"/>
                <w:szCs w:val="18"/>
              </w:rPr>
            </w:pPr>
            <w:r w:rsidRPr="00E21717">
              <w:rPr>
                <w:rFonts w:ascii="dcr10" w:eastAsia="Times New Roman" w:hAnsi="dcr10" w:cs="Times New Roman"/>
                <w:bCs/>
                <w:color w:val="000000"/>
                <w:sz w:val="18"/>
                <w:szCs w:val="18"/>
              </w:rPr>
              <w:t xml:space="preserve">Sumitomo Mitsui Financial </w:t>
            </w:r>
          </w:p>
        </w:tc>
        <w:tc>
          <w:tcPr>
            <w:tcW w:w="1879" w:type="dxa"/>
            <w:tcBorders>
              <w:top w:val="nil"/>
              <w:left w:val="nil"/>
              <w:bottom w:val="nil"/>
              <w:right w:val="nil"/>
            </w:tcBorders>
            <w:shd w:val="clear" w:color="auto" w:fill="auto"/>
            <w:noWrap/>
            <w:vAlign w:val="center"/>
            <w:hideMark/>
          </w:tcPr>
          <w:p w14:paraId="76FE33D0"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1.40</w:t>
            </w:r>
          </w:p>
        </w:tc>
        <w:tc>
          <w:tcPr>
            <w:tcW w:w="2041" w:type="dxa"/>
            <w:tcBorders>
              <w:top w:val="nil"/>
              <w:left w:val="nil"/>
              <w:bottom w:val="nil"/>
              <w:right w:val="nil"/>
            </w:tcBorders>
            <w:shd w:val="clear" w:color="auto" w:fill="auto"/>
            <w:noWrap/>
            <w:vAlign w:val="center"/>
            <w:hideMark/>
          </w:tcPr>
          <w:p w14:paraId="1116ACB3"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1.34</w:t>
            </w:r>
          </w:p>
        </w:tc>
        <w:tc>
          <w:tcPr>
            <w:tcW w:w="1536" w:type="dxa"/>
            <w:tcBorders>
              <w:top w:val="nil"/>
              <w:left w:val="nil"/>
              <w:bottom w:val="nil"/>
              <w:right w:val="nil"/>
            </w:tcBorders>
            <w:shd w:val="clear" w:color="auto" w:fill="auto"/>
            <w:noWrap/>
            <w:vAlign w:val="center"/>
            <w:hideMark/>
          </w:tcPr>
          <w:p w14:paraId="2DEC0580"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1.43</w:t>
            </w:r>
          </w:p>
        </w:tc>
      </w:tr>
      <w:tr w:rsidR="00161321" w:rsidRPr="00E21717" w14:paraId="3E2B1D06" w14:textId="77777777" w:rsidTr="00B86BE9">
        <w:trPr>
          <w:trHeight w:val="302"/>
        </w:trPr>
        <w:tc>
          <w:tcPr>
            <w:tcW w:w="3031" w:type="dxa"/>
            <w:tcBorders>
              <w:top w:val="nil"/>
              <w:left w:val="nil"/>
              <w:bottom w:val="nil"/>
              <w:right w:val="nil"/>
            </w:tcBorders>
            <w:shd w:val="clear" w:color="auto" w:fill="auto"/>
            <w:noWrap/>
            <w:vAlign w:val="center"/>
            <w:hideMark/>
          </w:tcPr>
          <w:p w14:paraId="403B4CC9" w14:textId="77777777" w:rsidR="00161321" w:rsidRPr="00E21717" w:rsidRDefault="00161321" w:rsidP="00B86BE9">
            <w:pP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Toronto-</w:t>
            </w:r>
            <w:proofErr w:type="spellStart"/>
            <w:r w:rsidRPr="00E21717">
              <w:rPr>
                <w:rFonts w:ascii="dcr10" w:eastAsia="Times New Roman" w:hAnsi="dcr10" w:cs="Times New Roman"/>
                <w:color w:val="000000"/>
                <w:sz w:val="18"/>
                <w:szCs w:val="18"/>
              </w:rPr>
              <w:t>Dominon</w:t>
            </w:r>
            <w:proofErr w:type="spellEnd"/>
            <w:r w:rsidRPr="00E21717">
              <w:rPr>
                <w:rFonts w:ascii="dcr10" w:eastAsia="Times New Roman" w:hAnsi="dcr10" w:cs="Times New Roman"/>
                <w:color w:val="000000"/>
                <w:sz w:val="18"/>
                <w:szCs w:val="18"/>
              </w:rPr>
              <w:t xml:space="preserve"> Group </w:t>
            </w:r>
          </w:p>
        </w:tc>
        <w:tc>
          <w:tcPr>
            <w:tcW w:w="1879" w:type="dxa"/>
            <w:tcBorders>
              <w:top w:val="nil"/>
              <w:left w:val="nil"/>
              <w:bottom w:val="nil"/>
              <w:right w:val="nil"/>
            </w:tcBorders>
            <w:shd w:val="clear" w:color="auto" w:fill="auto"/>
            <w:noWrap/>
            <w:vAlign w:val="center"/>
            <w:hideMark/>
          </w:tcPr>
          <w:p w14:paraId="3DFD983B"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0.52</w:t>
            </w:r>
          </w:p>
        </w:tc>
        <w:tc>
          <w:tcPr>
            <w:tcW w:w="2041" w:type="dxa"/>
            <w:tcBorders>
              <w:top w:val="nil"/>
              <w:left w:val="nil"/>
              <w:bottom w:val="nil"/>
              <w:right w:val="nil"/>
            </w:tcBorders>
            <w:shd w:val="clear" w:color="auto" w:fill="auto"/>
            <w:noWrap/>
            <w:vAlign w:val="center"/>
            <w:hideMark/>
          </w:tcPr>
          <w:p w14:paraId="44C5E7C6"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0.57</w:t>
            </w:r>
          </w:p>
        </w:tc>
        <w:tc>
          <w:tcPr>
            <w:tcW w:w="1536" w:type="dxa"/>
            <w:tcBorders>
              <w:top w:val="nil"/>
              <w:left w:val="nil"/>
              <w:bottom w:val="nil"/>
              <w:right w:val="nil"/>
            </w:tcBorders>
            <w:shd w:val="clear" w:color="auto" w:fill="auto"/>
            <w:noWrap/>
            <w:vAlign w:val="center"/>
            <w:hideMark/>
          </w:tcPr>
          <w:p w14:paraId="775976AF"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0.51</w:t>
            </w:r>
          </w:p>
        </w:tc>
      </w:tr>
      <w:tr w:rsidR="00161321" w:rsidRPr="00E21717" w14:paraId="13903F35" w14:textId="77777777" w:rsidTr="00B86BE9">
        <w:trPr>
          <w:trHeight w:val="302"/>
        </w:trPr>
        <w:tc>
          <w:tcPr>
            <w:tcW w:w="3031" w:type="dxa"/>
            <w:tcBorders>
              <w:top w:val="nil"/>
              <w:left w:val="nil"/>
              <w:bottom w:val="nil"/>
              <w:right w:val="nil"/>
            </w:tcBorders>
            <w:shd w:val="clear" w:color="auto" w:fill="auto"/>
            <w:noWrap/>
            <w:vAlign w:val="center"/>
            <w:hideMark/>
          </w:tcPr>
          <w:p w14:paraId="170535FD" w14:textId="77777777" w:rsidR="00161321" w:rsidRPr="00E21717" w:rsidRDefault="00161321" w:rsidP="00B86BE9">
            <w:pPr>
              <w:rPr>
                <w:rFonts w:ascii="dcr10" w:eastAsia="Times New Roman" w:hAnsi="dcr10" w:cs="Times New Roman"/>
                <w:color w:val="000000"/>
                <w:sz w:val="18"/>
                <w:szCs w:val="18"/>
              </w:rPr>
            </w:pPr>
            <w:r w:rsidRPr="00E21717">
              <w:rPr>
                <w:rFonts w:ascii="dcr10" w:eastAsia="Times New Roman" w:hAnsi="dcr10" w:cs="Times New Roman"/>
                <w:bCs/>
                <w:color w:val="000000"/>
                <w:sz w:val="18"/>
                <w:szCs w:val="18"/>
              </w:rPr>
              <w:t xml:space="preserve">UBS Group AG </w:t>
            </w:r>
          </w:p>
        </w:tc>
        <w:tc>
          <w:tcPr>
            <w:tcW w:w="1879" w:type="dxa"/>
            <w:tcBorders>
              <w:top w:val="nil"/>
              <w:left w:val="nil"/>
              <w:bottom w:val="nil"/>
              <w:right w:val="nil"/>
            </w:tcBorders>
            <w:shd w:val="clear" w:color="auto" w:fill="auto"/>
            <w:noWrap/>
            <w:vAlign w:val="center"/>
            <w:hideMark/>
          </w:tcPr>
          <w:p w14:paraId="3DF4F756"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0.97</w:t>
            </w:r>
          </w:p>
        </w:tc>
        <w:tc>
          <w:tcPr>
            <w:tcW w:w="2041" w:type="dxa"/>
            <w:tcBorders>
              <w:top w:val="nil"/>
              <w:left w:val="nil"/>
              <w:bottom w:val="nil"/>
              <w:right w:val="nil"/>
            </w:tcBorders>
            <w:shd w:val="clear" w:color="auto" w:fill="auto"/>
            <w:noWrap/>
            <w:vAlign w:val="center"/>
            <w:hideMark/>
          </w:tcPr>
          <w:p w14:paraId="79C18291"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1.31</w:t>
            </w:r>
          </w:p>
        </w:tc>
        <w:tc>
          <w:tcPr>
            <w:tcW w:w="1536" w:type="dxa"/>
            <w:tcBorders>
              <w:top w:val="nil"/>
              <w:left w:val="nil"/>
              <w:bottom w:val="nil"/>
              <w:right w:val="nil"/>
            </w:tcBorders>
            <w:shd w:val="clear" w:color="auto" w:fill="auto"/>
            <w:noWrap/>
            <w:vAlign w:val="center"/>
            <w:hideMark/>
          </w:tcPr>
          <w:p w14:paraId="0FBAFD33"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1.26</w:t>
            </w:r>
          </w:p>
        </w:tc>
      </w:tr>
      <w:tr w:rsidR="00161321" w:rsidRPr="00E21717" w14:paraId="0FBC992E" w14:textId="77777777" w:rsidTr="00B86BE9">
        <w:trPr>
          <w:trHeight w:val="302"/>
        </w:trPr>
        <w:tc>
          <w:tcPr>
            <w:tcW w:w="3031" w:type="dxa"/>
            <w:tcBorders>
              <w:top w:val="nil"/>
              <w:left w:val="nil"/>
              <w:bottom w:val="nil"/>
              <w:right w:val="nil"/>
            </w:tcBorders>
            <w:shd w:val="clear" w:color="auto" w:fill="auto"/>
            <w:noWrap/>
            <w:vAlign w:val="center"/>
            <w:hideMark/>
          </w:tcPr>
          <w:p w14:paraId="1FD59824" w14:textId="77777777" w:rsidR="00161321" w:rsidRPr="00E21717" w:rsidRDefault="00161321" w:rsidP="00B86BE9">
            <w:pPr>
              <w:rPr>
                <w:rFonts w:ascii="dcr10" w:eastAsia="Times New Roman" w:hAnsi="dcr10" w:cs="Times New Roman"/>
                <w:color w:val="000000"/>
                <w:sz w:val="18"/>
                <w:szCs w:val="18"/>
              </w:rPr>
            </w:pPr>
            <w:proofErr w:type="spellStart"/>
            <w:r w:rsidRPr="00E21717">
              <w:rPr>
                <w:rFonts w:ascii="dcr10" w:eastAsia="Times New Roman" w:hAnsi="dcr10" w:cs="Times New Roman"/>
                <w:color w:val="000000"/>
                <w:sz w:val="18"/>
                <w:szCs w:val="18"/>
              </w:rPr>
              <w:t>UniCredit</w:t>
            </w:r>
            <w:proofErr w:type="spellEnd"/>
            <w:r w:rsidRPr="00E21717">
              <w:rPr>
                <w:rFonts w:ascii="dcr10" w:eastAsia="Times New Roman" w:hAnsi="dcr10" w:cs="Times New Roman"/>
                <w:color w:val="000000"/>
                <w:sz w:val="18"/>
                <w:szCs w:val="18"/>
              </w:rPr>
              <w:t xml:space="preserve"> </w:t>
            </w:r>
            <w:proofErr w:type="spellStart"/>
            <w:r w:rsidRPr="00E21717">
              <w:rPr>
                <w:rFonts w:ascii="dcr10" w:eastAsia="Times New Roman" w:hAnsi="dcr10" w:cs="Times New Roman"/>
                <w:color w:val="000000"/>
                <w:sz w:val="18"/>
                <w:szCs w:val="18"/>
              </w:rPr>
              <w:t>S.p.A</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603A6648"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0.83</w:t>
            </w:r>
          </w:p>
        </w:tc>
        <w:tc>
          <w:tcPr>
            <w:tcW w:w="2041" w:type="dxa"/>
            <w:tcBorders>
              <w:top w:val="nil"/>
              <w:left w:val="nil"/>
              <w:bottom w:val="nil"/>
              <w:right w:val="nil"/>
            </w:tcBorders>
            <w:shd w:val="clear" w:color="auto" w:fill="auto"/>
            <w:noWrap/>
            <w:vAlign w:val="center"/>
            <w:hideMark/>
          </w:tcPr>
          <w:p w14:paraId="3B72C3C1"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1.37</w:t>
            </w:r>
          </w:p>
        </w:tc>
        <w:tc>
          <w:tcPr>
            <w:tcW w:w="1536" w:type="dxa"/>
            <w:tcBorders>
              <w:top w:val="nil"/>
              <w:left w:val="nil"/>
              <w:bottom w:val="nil"/>
              <w:right w:val="nil"/>
            </w:tcBorders>
            <w:shd w:val="clear" w:color="auto" w:fill="auto"/>
            <w:noWrap/>
            <w:vAlign w:val="center"/>
            <w:hideMark/>
          </w:tcPr>
          <w:p w14:paraId="3CCC96A9"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1.38</w:t>
            </w:r>
          </w:p>
        </w:tc>
      </w:tr>
      <w:tr w:rsidR="00161321" w:rsidRPr="00E21717" w14:paraId="73498F19" w14:textId="77777777" w:rsidTr="00B86BE9">
        <w:trPr>
          <w:trHeight w:val="302"/>
        </w:trPr>
        <w:tc>
          <w:tcPr>
            <w:tcW w:w="3031" w:type="dxa"/>
            <w:tcBorders>
              <w:top w:val="nil"/>
              <w:left w:val="nil"/>
              <w:bottom w:val="nil"/>
              <w:right w:val="nil"/>
            </w:tcBorders>
            <w:shd w:val="clear" w:color="auto" w:fill="auto"/>
            <w:noWrap/>
            <w:vAlign w:val="center"/>
            <w:hideMark/>
          </w:tcPr>
          <w:p w14:paraId="514D2DA3" w14:textId="77777777" w:rsidR="00161321" w:rsidRPr="00E21717" w:rsidRDefault="00161321" w:rsidP="00B86BE9">
            <w:pPr>
              <w:rPr>
                <w:rFonts w:ascii="dcr10" w:eastAsia="Times New Roman" w:hAnsi="dcr10" w:cs="Times New Roman"/>
                <w:color w:val="000000"/>
                <w:sz w:val="18"/>
                <w:szCs w:val="18"/>
              </w:rPr>
            </w:pPr>
            <w:r w:rsidRPr="00E21717">
              <w:rPr>
                <w:rFonts w:ascii="dcr10" w:eastAsia="Times New Roman" w:hAnsi="dcr10" w:cs="Times New Roman"/>
                <w:bCs/>
                <w:color w:val="000000"/>
                <w:sz w:val="18"/>
                <w:szCs w:val="18"/>
              </w:rPr>
              <w:t xml:space="preserve">Westpac Banking </w:t>
            </w:r>
          </w:p>
        </w:tc>
        <w:tc>
          <w:tcPr>
            <w:tcW w:w="1879" w:type="dxa"/>
            <w:tcBorders>
              <w:top w:val="nil"/>
              <w:left w:val="nil"/>
              <w:bottom w:val="nil"/>
              <w:right w:val="nil"/>
            </w:tcBorders>
            <w:shd w:val="clear" w:color="auto" w:fill="auto"/>
            <w:noWrap/>
            <w:vAlign w:val="center"/>
            <w:hideMark/>
          </w:tcPr>
          <w:p w14:paraId="18DC9B56" w14:textId="77777777" w:rsidR="00161321" w:rsidRPr="00E21717" w:rsidRDefault="00161321" w:rsidP="00B86BE9">
            <w:pPr>
              <w:jc w:val="center"/>
              <w:rPr>
                <w:rFonts w:ascii="dcr10" w:eastAsia="Times New Roman" w:hAnsi="dcr10" w:cs="Times New Roman"/>
                <w:i/>
                <w:color w:val="000000"/>
                <w:sz w:val="18"/>
                <w:szCs w:val="18"/>
              </w:rPr>
            </w:pPr>
            <w:r w:rsidRPr="00E21717">
              <w:rPr>
                <w:rFonts w:ascii="dcr10" w:eastAsia="Times New Roman" w:hAnsi="dcr10" w:cs="Times New Roman"/>
                <w:color w:val="000000"/>
                <w:sz w:val="18"/>
                <w:szCs w:val="18"/>
              </w:rPr>
              <w:t>0.49</w:t>
            </w:r>
          </w:p>
        </w:tc>
        <w:tc>
          <w:tcPr>
            <w:tcW w:w="2041" w:type="dxa"/>
            <w:tcBorders>
              <w:top w:val="nil"/>
              <w:left w:val="nil"/>
              <w:bottom w:val="nil"/>
              <w:right w:val="nil"/>
            </w:tcBorders>
            <w:shd w:val="clear" w:color="auto" w:fill="auto"/>
            <w:noWrap/>
            <w:vAlign w:val="center"/>
            <w:hideMark/>
          </w:tcPr>
          <w:p w14:paraId="623FF2E7"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0.72</w:t>
            </w:r>
          </w:p>
        </w:tc>
        <w:tc>
          <w:tcPr>
            <w:tcW w:w="1536" w:type="dxa"/>
            <w:tcBorders>
              <w:top w:val="nil"/>
              <w:left w:val="nil"/>
              <w:bottom w:val="nil"/>
              <w:right w:val="nil"/>
            </w:tcBorders>
            <w:shd w:val="clear" w:color="auto" w:fill="auto"/>
            <w:noWrap/>
            <w:vAlign w:val="center"/>
            <w:hideMark/>
          </w:tcPr>
          <w:p w14:paraId="4A567EC1" w14:textId="77777777" w:rsidR="00161321" w:rsidRPr="00E21717" w:rsidRDefault="00161321" w:rsidP="00B86BE9">
            <w:pPr>
              <w:jc w:val="center"/>
              <w:rPr>
                <w:rFonts w:ascii="dcr10" w:eastAsia="Times New Roman" w:hAnsi="dcr10" w:cs="Times New Roman"/>
                <w:color w:val="000000"/>
                <w:sz w:val="18"/>
                <w:szCs w:val="18"/>
              </w:rPr>
            </w:pPr>
            <w:r w:rsidRPr="00E21717">
              <w:rPr>
                <w:rFonts w:ascii="dcr10" w:eastAsia="Times New Roman" w:hAnsi="dcr10" w:cs="Times New Roman"/>
                <w:color w:val="000000"/>
                <w:sz w:val="18"/>
                <w:szCs w:val="18"/>
              </w:rPr>
              <w:t>0.79</w:t>
            </w:r>
          </w:p>
        </w:tc>
      </w:tr>
      <w:tr w:rsidR="00161321" w:rsidRPr="00E21717" w14:paraId="0FDE6FB6" w14:textId="77777777" w:rsidTr="00B86BE9">
        <w:trPr>
          <w:trHeight w:val="302"/>
        </w:trPr>
        <w:tc>
          <w:tcPr>
            <w:tcW w:w="3031" w:type="dxa"/>
            <w:tcBorders>
              <w:top w:val="nil"/>
              <w:left w:val="nil"/>
              <w:bottom w:val="nil"/>
              <w:right w:val="nil"/>
            </w:tcBorders>
            <w:shd w:val="clear" w:color="auto" w:fill="auto"/>
            <w:noWrap/>
            <w:vAlign w:val="center"/>
            <w:hideMark/>
          </w:tcPr>
          <w:p w14:paraId="68039BE1" w14:textId="77777777" w:rsidR="00161321" w:rsidRPr="00E21717" w:rsidRDefault="00161321" w:rsidP="00B86BE9">
            <w:pPr>
              <w:rPr>
                <w:rFonts w:ascii="dcr10" w:eastAsia="Times New Roman" w:hAnsi="dcr10" w:cs="Times New Roman"/>
                <w:i/>
                <w:iCs/>
                <w:color w:val="000000"/>
                <w:sz w:val="18"/>
                <w:szCs w:val="18"/>
              </w:rPr>
            </w:pPr>
            <w:r w:rsidRPr="00E21717">
              <w:rPr>
                <w:rFonts w:ascii="dcr10" w:eastAsia="Times New Roman" w:hAnsi="dcr10" w:cs="Times New Roman"/>
                <w:i/>
                <w:color w:val="000000"/>
                <w:sz w:val="18"/>
                <w:szCs w:val="18"/>
              </w:rPr>
              <w:t>Mean</w:t>
            </w:r>
          </w:p>
        </w:tc>
        <w:tc>
          <w:tcPr>
            <w:tcW w:w="1879" w:type="dxa"/>
            <w:tcBorders>
              <w:top w:val="nil"/>
              <w:left w:val="nil"/>
              <w:bottom w:val="nil"/>
              <w:right w:val="nil"/>
            </w:tcBorders>
            <w:shd w:val="clear" w:color="auto" w:fill="auto"/>
            <w:noWrap/>
            <w:vAlign w:val="center"/>
            <w:hideMark/>
          </w:tcPr>
          <w:p w14:paraId="6D7FF2DB" w14:textId="77777777" w:rsidR="00161321" w:rsidRPr="00E21717" w:rsidRDefault="00161321" w:rsidP="00B86BE9">
            <w:pPr>
              <w:jc w:val="center"/>
              <w:rPr>
                <w:rFonts w:ascii="dcr10" w:eastAsia="Times New Roman" w:hAnsi="dcr10" w:cs="Times New Roman"/>
                <w:i/>
                <w:color w:val="000000"/>
                <w:sz w:val="18"/>
                <w:szCs w:val="18"/>
              </w:rPr>
            </w:pPr>
            <w:r w:rsidRPr="00E21717">
              <w:rPr>
                <w:rFonts w:ascii="dcr10" w:eastAsia="Times New Roman" w:hAnsi="dcr10" w:cs="Times New Roman"/>
                <w:i/>
                <w:color w:val="000000"/>
                <w:sz w:val="18"/>
                <w:szCs w:val="18"/>
              </w:rPr>
              <w:t>0.81</w:t>
            </w:r>
          </w:p>
        </w:tc>
        <w:tc>
          <w:tcPr>
            <w:tcW w:w="2041" w:type="dxa"/>
            <w:tcBorders>
              <w:top w:val="nil"/>
              <w:left w:val="nil"/>
              <w:bottom w:val="nil"/>
              <w:right w:val="nil"/>
            </w:tcBorders>
            <w:shd w:val="clear" w:color="auto" w:fill="auto"/>
            <w:noWrap/>
            <w:vAlign w:val="center"/>
            <w:hideMark/>
          </w:tcPr>
          <w:p w14:paraId="6094BFE1" w14:textId="77777777" w:rsidR="00161321" w:rsidRPr="00E21717" w:rsidRDefault="00161321" w:rsidP="00B86BE9">
            <w:pPr>
              <w:jc w:val="center"/>
              <w:rPr>
                <w:rFonts w:ascii="dcr10" w:eastAsia="Times New Roman" w:hAnsi="dcr10" w:cs="Times New Roman"/>
                <w:i/>
                <w:iCs/>
                <w:color w:val="000000"/>
                <w:sz w:val="18"/>
                <w:szCs w:val="18"/>
              </w:rPr>
            </w:pPr>
            <w:r w:rsidRPr="00E21717">
              <w:rPr>
                <w:rFonts w:ascii="dcr10" w:eastAsia="Times New Roman" w:hAnsi="dcr10" w:cs="Times New Roman"/>
                <w:i/>
                <w:color w:val="000000"/>
                <w:sz w:val="18"/>
                <w:szCs w:val="18"/>
              </w:rPr>
              <w:t>1.09</w:t>
            </w:r>
          </w:p>
        </w:tc>
        <w:tc>
          <w:tcPr>
            <w:tcW w:w="1536" w:type="dxa"/>
            <w:tcBorders>
              <w:top w:val="nil"/>
              <w:left w:val="nil"/>
              <w:bottom w:val="nil"/>
              <w:right w:val="nil"/>
            </w:tcBorders>
            <w:shd w:val="clear" w:color="auto" w:fill="auto"/>
            <w:noWrap/>
            <w:vAlign w:val="center"/>
            <w:hideMark/>
          </w:tcPr>
          <w:p w14:paraId="4592128C" w14:textId="77777777" w:rsidR="00161321" w:rsidRPr="00E21717" w:rsidRDefault="00161321" w:rsidP="00B86BE9">
            <w:pPr>
              <w:jc w:val="center"/>
              <w:rPr>
                <w:rFonts w:ascii="dcr10" w:eastAsia="Times New Roman" w:hAnsi="dcr10" w:cs="Times New Roman"/>
                <w:i/>
                <w:iCs/>
                <w:color w:val="000000"/>
                <w:sz w:val="18"/>
                <w:szCs w:val="18"/>
              </w:rPr>
            </w:pPr>
            <w:r w:rsidRPr="00E21717">
              <w:rPr>
                <w:rFonts w:ascii="dcr10" w:eastAsia="Times New Roman" w:hAnsi="dcr10" w:cs="Times New Roman"/>
                <w:i/>
                <w:color w:val="000000"/>
                <w:sz w:val="18"/>
                <w:szCs w:val="18"/>
              </w:rPr>
              <w:t>1.02</w:t>
            </w:r>
          </w:p>
        </w:tc>
      </w:tr>
      <w:tr w:rsidR="00161321" w:rsidRPr="00E21717" w14:paraId="5F1C687B" w14:textId="77777777" w:rsidTr="00B86BE9">
        <w:trPr>
          <w:trHeight w:val="302"/>
        </w:trPr>
        <w:tc>
          <w:tcPr>
            <w:tcW w:w="3031" w:type="dxa"/>
            <w:tcBorders>
              <w:top w:val="nil"/>
              <w:left w:val="nil"/>
              <w:bottom w:val="nil"/>
              <w:right w:val="nil"/>
            </w:tcBorders>
            <w:shd w:val="clear" w:color="auto" w:fill="auto"/>
            <w:noWrap/>
            <w:vAlign w:val="center"/>
            <w:hideMark/>
          </w:tcPr>
          <w:p w14:paraId="63704D57" w14:textId="77777777" w:rsidR="00161321" w:rsidRPr="00E21717" w:rsidRDefault="00161321" w:rsidP="00B86BE9">
            <w:pPr>
              <w:rPr>
                <w:rFonts w:ascii="dcr10" w:eastAsia="Times New Roman" w:hAnsi="dcr10" w:cs="Times New Roman"/>
                <w:i/>
                <w:iCs/>
                <w:color w:val="000000"/>
                <w:sz w:val="18"/>
                <w:szCs w:val="18"/>
              </w:rPr>
            </w:pPr>
            <w:r w:rsidRPr="00E21717">
              <w:rPr>
                <w:rFonts w:ascii="dcr10" w:eastAsia="Times New Roman" w:hAnsi="dcr10" w:cs="Times New Roman"/>
                <w:bCs/>
                <w:i/>
                <w:color w:val="000000"/>
                <w:sz w:val="18"/>
                <w:szCs w:val="18"/>
              </w:rPr>
              <w:t>Median</w:t>
            </w:r>
          </w:p>
        </w:tc>
        <w:tc>
          <w:tcPr>
            <w:tcW w:w="1879" w:type="dxa"/>
            <w:tcBorders>
              <w:top w:val="nil"/>
              <w:left w:val="nil"/>
              <w:bottom w:val="nil"/>
              <w:right w:val="nil"/>
            </w:tcBorders>
            <w:shd w:val="clear" w:color="auto" w:fill="auto"/>
            <w:noWrap/>
            <w:vAlign w:val="center"/>
            <w:hideMark/>
          </w:tcPr>
          <w:p w14:paraId="6653F398" w14:textId="77777777" w:rsidR="00161321" w:rsidRPr="00E21717" w:rsidRDefault="00161321" w:rsidP="00B86BE9">
            <w:pPr>
              <w:jc w:val="center"/>
              <w:rPr>
                <w:rFonts w:ascii="dcr10" w:eastAsia="Times New Roman" w:hAnsi="dcr10" w:cs="Times New Roman"/>
                <w:i/>
                <w:iCs/>
                <w:color w:val="000000"/>
                <w:sz w:val="18"/>
                <w:szCs w:val="18"/>
              </w:rPr>
            </w:pPr>
            <w:r w:rsidRPr="00E21717">
              <w:rPr>
                <w:rFonts w:ascii="dcr10" w:eastAsia="Times New Roman" w:hAnsi="dcr10" w:cs="Times New Roman"/>
                <w:i/>
                <w:color w:val="000000"/>
                <w:sz w:val="18"/>
                <w:szCs w:val="18"/>
              </w:rPr>
              <w:t>0.86</w:t>
            </w:r>
          </w:p>
        </w:tc>
        <w:tc>
          <w:tcPr>
            <w:tcW w:w="2041" w:type="dxa"/>
            <w:tcBorders>
              <w:top w:val="nil"/>
              <w:left w:val="nil"/>
              <w:bottom w:val="nil"/>
              <w:right w:val="nil"/>
            </w:tcBorders>
            <w:shd w:val="clear" w:color="auto" w:fill="auto"/>
            <w:noWrap/>
            <w:vAlign w:val="center"/>
            <w:hideMark/>
          </w:tcPr>
          <w:p w14:paraId="3DB50B20" w14:textId="77777777" w:rsidR="00161321" w:rsidRPr="00E21717" w:rsidRDefault="00161321" w:rsidP="00B86BE9">
            <w:pPr>
              <w:jc w:val="center"/>
              <w:rPr>
                <w:rFonts w:ascii="dcr10" w:eastAsia="Times New Roman" w:hAnsi="dcr10" w:cs="Times New Roman"/>
                <w:i/>
                <w:iCs/>
                <w:color w:val="000000"/>
                <w:sz w:val="18"/>
                <w:szCs w:val="18"/>
              </w:rPr>
            </w:pPr>
            <w:r w:rsidRPr="00E21717">
              <w:rPr>
                <w:rFonts w:ascii="dcr10" w:eastAsia="Times New Roman" w:hAnsi="dcr10" w:cs="Times New Roman"/>
                <w:i/>
                <w:color w:val="000000"/>
                <w:sz w:val="18"/>
                <w:szCs w:val="18"/>
              </w:rPr>
              <w:t>1.16</w:t>
            </w:r>
          </w:p>
        </w:tc>
        <w:tc>
          <w:tcPr>
            <w:tcW w:w="1536" w:type="dxa"/>
            <w:tcBorders>
              <w:top w:val="nil"/>
              <w:left w:val="nil"/>
              <w:bottom w:val="nil"/>
              <w:right w:val="nil"/>
            </w:tcBorders>
            <w:shd w:val="clear" w:color="auto" w:fill="auto"/>
            <w:noWrap/>
            <w:vAlign w:val="center"/>
            <w:hideMark/>
          </w:tcPr>
          <w:p w14:paraId="65789C98" w14:textId="77777777" w:rsidR="00161321" w:rsidRPr="00E21717" w:rsidRDefault="00161321" w:rsidP="00B86BE9">
            <w:pPr>
              <w:jc w:val="center"/>
              <w:rPr>
                <w:rFonts w:ascii="dcr10" w:eastAsia="Times New Roman" w:hAnsi="dcr10" w:cs="Times New Roman"/>
                <w:i/>
                <w:iCs/>
                <w:color w:val="000000"/>
                <w:sz w:val="18"/>
                <w:szCs w:val="18"/>
              </w:rPr>
            </w:pPr>
            <w:r w:rsidRPr="00E21717">
              <w:rPr>
                <w:rFonts w:ascii="dcr10" w:eastAsia="Times New Roman" w:hAnsi="dcr10" w:cs="Times New Roman"/>
                <w:i/>
                <w:color w:val="000000"/>
                <w:sz w:val="18"/>
                <w:szCs w:val="18"/>
              </w:rPr>
              <w:t>1.03</w:t>
            </w:r>
          </w:p>
        </w:tc>
      </w:tr>
      <w:tr w:rsidR="00161321" w:rsidRPr="00E21717" w14:paraId="648BF7A6" w14:textId="77777777" w:rsidTr="00B86BE9">
        <w:trPr>
          <w:trHeight w:val="302"/>
        </w:trPr>
        <w:tc>
          <w:tcPr>
            <w:tcW w:w="3031" w:type="dxa"/>
            <w:tcBorders>
              <w:top w:val="nil"/>
              <w:left w:val="nil"/>
              <w:bottom w:val="nil"/>
              <w:right w:val="nil"/>
            </w:tcBorders>
            <w:shd w:val="clear" w:color="auto" w:fill="auto"/>
            <w:noWrap/>
            <w:vAlign w:val="bottom"/>
          </w:tcPr>
          <w:p w14:paraId="5FE11AC9" w14:textId="77777777" w:rsidR="00161321" w:rsidRPr="00E21717" w:rsidRDefault="00161321" w:rsidP="00B86BE9">
            <w:pPr>
              <w:rPr>
                <w:rFonts w:ascii="dcr10" w:eastAsia="Times New Roman" w:hAnsi="dcr10" w:cs="Times New Roman"/>
                <w:i/>
                <w:iCs/>
                <w:color w:val="000000"/>
                <w:sz w:val="18"/>
                <w:szCs w:val="18"/>
              </w:rPr>
            </w:pPr>
            <w:r w:rsidRPr="00E21717">
              <w:rPr>
                <w:rFonts w:ascii="dcr10" w:eastAsia="Times New Roman" w:hAnsi="dcr10" w:cs="Times New Roman"/>
                <w:i/>
                <w:iCs/>
                <w:color w:val="0000FF"/>
                <w:sz w:val="18"/>
                <w:szCs w:val="18"/>
              </w:rPr>
              <w:t xml:space="preserve">Big 6 </w:t>
            </w:r>
            <w:r>
              <w:rPr>
                <w:rFonts w:ascii="dcr10" w:eastAsia="Times New Roman" w:hAnsi="dcr10" w:cs="Times New Roman"/>
                <w:i/>
                <w:iCs/>
                <w:color w:val="0000FF"/>
                <w:sz w:val="18"/>
                <w:szCs w:val="18"/>
              </w:rPr>
              <w:t>Mean</w:t>
            </w:r>
            <w:r w:rsidRPr="00E21717">
              <w:rPr>
                <w:rFonts w:ascii="dcr10" w:eastAsia="Times New Roman" w:hAnsi="dcr10" w:cs="Times New Roman"/>
                <w:i/>
                <w:iCs/>
                <w:color w:val="0000FF"/>
                <w:sz w:val="18"/>
                <w:szCs w:val="18"/>
              </w:rPr>
              <w:t xml:space="preserve"> </w:t>
            </w:r>
          </w:p>
        </w:tc>
        <w:tc>
          <w:tcPr>
            <w:tcW w:w="1879" w:type="dxa"/>
            <w:tcBorders>
              <w:top w:val="nil"/>
              <w:left w:val="nil"/>
              <w:bottom w:val="nil"/>
              <w:right w:val="nil"/>
            </w:tcBorders>
            <w:shd w:val="clear" w:color="auto" w:fill="auto"/>
            <w:noWrap/>
            <w:vAlign w:val="bottom"/>
          </w:tcPr>
          <w:p w14:paraId="59CD84A2" w14:textId="77777777" w:rsidR="00161321" w:rsidRPr="00E21717" w:rsidRDefault="00161321" w:rsidP="00B86BE9">
            <w:pPr>
              <w:jc w:val="center"/>
              <w:rPr>
                <w:rFonts w:ascii="dcr10" w:eastAsia="Times New Roman" w:hAnsi="dcr10" w:cs="Times New Roman"/>
                <w:i/>
                <w:iCs/>
                <w:color w:val="000000"/>
                <w:sz w:val="18"/>
                <w:szCs w:val="18"/>
              </w:rPr>
            </w:pPr>
            <w:r w:rsidRPr="00E21717">
              <w:rPr>
                <w:rFonts w:ascii="dcr10" w:eastAsia="Times New Roman" w:hAnsi="dcr10" w:cs="Times New Roman"/>
                <w:i/>
                <w:iCs/>
                <w:color w:val="0000FF"/>
                <w:sz w:val="18"/>
                <w:szCs w:val="18"/>
              </w:rPr>
              <w:t>1.18</w:t>
            </w:r>
          </w:p>
        </w:tc>
        <w:tc>
          <w:tcPr>
            <w:tcW w:w="2041" w:type="dxa"/>
            <w:tcBorders>
              <w:top w:val="nil"/>
              <w:left w:val="nil"/>
              <w:bottom w:val="nil"/>
              <w:right w:val="nil"/>
            </w:tcBorders>
            <w:shd w:val="clear" w:color="auto" w:fill="auto"/>
            <w:noWrap/>
            <w:vAlign w:val="bottom"/>
          </w:tcPr>
          <w:p w14:paraId="3C661F1B" w14:textId="77777777" w:rsidR="00161321" w:rsidRPr="00E21717" w:rsidRDefault="00161321" w:rsidP="00B86BE9">
            <w:pPr>
              <w:jc w:val="center"/>
              <w:rPr>
                <w:rFonts w:ascii="dcr10" w:eastAsia="Times New Roman" w:hAnsi="dcr10" w:cs="Times New Roman"/>
                <w:i/>
                <w:iCs/>
                <w:color w:val="000000"/>
                <w:sz w:val="18"/>
                <w:szCs w:val="18"/>
              </w:rPr>
            </w:pPr>
            <w:r w:rsidRPr="00E21717">
              <w:rPr>
                <w:rFonts w:ascii="dcr10" w:eastAsia="Times New Roman" w:hAnsi="dcr10" w:cs="Times New Roman"/>
                <w:i/>
                <w:iCs/>
                <w:color w:val="0000FF"/>
                <w:sz w:val="18"/>
                <w:szCs w:val="18"/>
              </w:rPr>
              <w:t>1.68</w:t>
            </w:r>
          </w:p>
        </w:tc>
        <w:tc>
          <w:tcPr>
            <w:tcW w:w="1536" w:type="dxa"/>
            <w:tcBorders>
              <w:top w:val="nil"/>
              <w:left w:val="nil"/>
              <w:bottom w:val="nil"/>
              <w:right w:val="nil"/>
            </w:tcBorders>
            <w:shd w:val="clear" w:color="auto" w:fill="auto"/>
            <w:noWrap/>
            <w:vAlign w:val="bottom"/>
          </w:tcPr>
          <w:p w14:paraId="34C429FF" w14:textId="77777777" w:rsidR="00161321" w:rsidRPr="00E21717" w:rsidRDefault="00161321" w:rsidP="00B86BE9">
            <w:pPr>
              <w:jc w:val="center"/>
              <w:rPr>
                <w:rFonts w:ascii="dcr10" w:eastAsia="Times New Roman" w:hAnsi="dcr10" w:cs="Times New Roman"/>
                <w:i/>
                <w:iCs/>
                <w:color w:val="000000"/>
                <w:sz w:val="18"/>
                <w:szCs w:val="18"/>
              </w:rPr>
            </w:pPr>
            <w:r w:rsidRPr="00E21717">
              <w:rPr>
                <w:rFonts w:ascii="dcr10" w:eastAsia="Times New Roman" w:hAnsi="dcr10" w:cs="Times New Roman"/>
                <w:i/>
                <w:iCs/>
                <w:color w:val="0000FF"/>
                <w:sz w:val="18"/>
                <w:szCs w:val="18"/>
              </w:rPr>
              <w:t>1.42</w:t>
            </w:r>
          </w:p>
        </w:tc>
      </w:tr>
      <w:tr w:rsidR="00161321" w:rsidRPr="00E21717" w14:paraId="41B5633D" w14:textId="77777777" w:rsidTr="00B86BE9">
        <w:trPr>
          <w:trHeight w:val="302"/>
        </w:trPr>
        <w:tc>
          <w:tcPr>
            <w:tcW w:w="3031" w:type="dxa"/>
            <w:tcBorders>
              <w:top w:val="nil"/>
              <w:left w:val="nil"/>
              <w:bottom w:val="nil"/>
              <w:right w:val="nil"/>
            </w:tcBorders>
            <w:shd w:val="clear" w:color="auto" w:fill="auto"/>
            <w:noWrap/>
            <w:vAlign w:val="bottom"/>
            <w:hideMark/>
          </w:tcPr>
          <w:p w14:paraId="68A8773D" w14:textId="77777777" w:rsidR="00161321" w:rsidRPr="00E21717" w:rsidRDefault="00161321" w:rsidP="00B86BE9">
            <w:pPr>
              <w:rPr>
                <w:rFonts w:ascii="dcr10" w:eastAsia="Times New Roman" w:hAnsi="dcr10" w:cs="Times New Roman"/>
                <w:i/>
                <w:iCs/>
                <w:color w:val="000000"/>
                <w:sz w:val="18"/>
                <w:szCs w:val="18"/>
              </w:rPr>
            </w:pPr>
            <w:r w:rsidRPr="00E21717">
              <w:rPr>
                <w:rFonts w:ascii="dcr10" w:eastAsia="Times New Roman" w:hAnsi="dcr10" w:cs="Times New Roman"/>
                <w:i/>
                <w:iCs/>
                <w:color w:val="0000FF"/>
                <w:sz w:val="18"/>
                <w:szCs w:val="18"/>
              </w:rPr>
              <w:t xml:space="preserve">Big 6 </w:t>
            </w:r>
            <w:r>
              <w:rPr>
                <w:rFonts w:ascii="dcr10" w:eastAsia="Times New Roman" w:hAnsi="dcr10" w:cs="Times New Roman"/>
                <w:i/>
                <w:iCs/>
                <w:color w:val="0000FF"/>
                <w:sz w:val="18"/>
                <w:szCs w:val="18"/>
              </w:rPr>
              <w:t>Median</w:t>
            </w:r>
            <w:r w:rsidRPr="00E21717">
              <w:rPr>
                <w:rFonts w:ascii="dcr10" w:eastAsia="Times New Roman" w:hAnsi="dcr10" w:cs="Times New Roman"/>
                <w:i/>
                <w:iCs/>
                <w:color w:val="0000FF"/>
                <w:sz w:val="18"/>
                <w:szCs w:val="18"/>
              </w:rPr>
              <w:t xml:space="preserve"> </w:t>
            </w:r>
          </w:p>
        </w:tc>
        <w:tc>
          <w:tcPr>
            <w:tcW w:w="1879" w:type="dxa"/>
            <w:tcBorders>
              <w:top w:val="nil"/>
              <w:left w:val="nil"/>
              <w:bottom w:val="nil"/>
              <w:right w:val="nil"/>
            </w:tcBorders>
            <w:shd w:val="clear" w:color="auto" w:fill="auto"/>
            <w:noWrap/>
            <w:vAlign w:val="bottom"/>
            <w:hideMark/>
          </w:tcPr>
          <w:p w14:paraId="21F35A7F" w14:textId="77777777" w:rsidR="00161321" w:rsidRPr="00E21717" w:rsidRDefault="00161321" w:rsidP="00B86BE9">
            <w:pPr>
              <w:jc w:val="center"/>
              <w:rPr>
                <w:rFonts w:ascii="dcr10" w:eastAsia="Times New Roman" w:hAnsi="dcr10" w:cs="Times New Roman"/>
                <w:i/>
                <w:iCs/>
                <w:color w:val="000000"/>
                <w:sz w:val="18"/>
                <w:szCs w:val="18"/>
              </w:rPr>
            </w:pPr>
            <w:r>
              <w:rPr>
                <w:rFonts w:ascii="dcr10" w:eastAsia="Times New Roman" w:hAnsi="dcr10" w:cs="Times New Roman"/>
                <w:i/>
                <w:iCs/>
                <w:color w:val="0000FF"/>
                <w:sz w:val="18"/>
                <w:szCs w:val="18"/>
              </w:rPr>
              <w:t>1.25</w:t>
            </w:r>
          </w:p>
        </w:tc>
        <w:tc>
          <w:tcPr>
            <w:tcW w:w="2041" w:type="dxa"/>
            <w:tcBorders>
              <w:top w:val="nil"/>
              <w:left w:val="nil"/>
              <w:bottom w:val="nil"/>
              <w:right w:val="nil"/>
            </w:tcBorders>
            <w:shd w:val="clear" w:color="auto" w:fill="auto"/>
            <w:noWrap/>
            <w:vAlign w:val="bottom"/>
            <w:hideMark/>
          </w:tcPr>
          <w:p w14:paraId="0FE36CDE" w14:textId="77777777" w:rsidR="00161321" w:rsidRPr="00E21717" w:rsidRDefault="00161321" w:rsidP="00B86BE9">
            <w:pPr>
              <w:jc w:val="center"/>
              <w:rPr>
                <w:rFonts w:ascii="dcr10" w:eastAsia="Times New Roman" w:hAnsi="dcr10" w:cs="Times New Roman"/>
                <w:i/>
                <w:iCs/>
                <w:color w:val="000000"/>
                <w:sz w:val="18"/>
                <w:szCs w:val="18"/>
              </w:rPr>
            </w:pPr>
            <w:r w:rsidRPr="00E21717">
              <w:rPr>
                <w:rFonts w:ascii="dcr10" w:eastAsia="Times New Roman" w:hAnsi="dcr10" w:cs="Times New Roman"/>
                <w:i/>
                <w:iCs/>
                <w:color w:val="0000FF"/>
                <w:sz w:val="18"/>
                <w:szCs w:val="18"/>
              </w:rPr>
              <w:t>1.68</w:t>
            </w:r>
          </w:p>
        </w:tc>
        <w:tc>
          <w:tcPr>
            <w:tcW w:w="1536" w:type="dxa"/>
            <w:tcBorders>
              <w:top w:val="nil"/>
              <w:left w:val="nil"/>
              <w:bottom w:val="nil"/>
              <w:right w:val="nil"/>
            </w:tcBorders>
            <w:shd w:val="clear" w:color="auto" w:fill="auto"/>
            <w:noWrap/>
            <w:vAlign w:val="bottom"/>
            <w:hideMark/>
          </w:tcPr>
          <w:p w14:paraId="22D43301" w14:textId="77777777" w:rsidR="00161321" w:rsidRPr="00E21717" w:rsidRDefault="00161321" w:rsidP="00B86BE9">
            <w:pPr>
              <w:jc w:val="center"/>
              <w:rPr>
                <w:rFonts w:ascii="dcr10" w:eastAsia="Times New Roman" w:hAnsi="dcr10" w:cs="Times New Roman"/>
                <w:i/>
                <w:iCs/>
                <w:color w:val="000000"/>
                <w:sz w:val="18"/>
                <w:szCs w:val="18"/>
              </w:rPr>
            </w:pPr>
            <w:r w:rsidRPr="00E21717">
              <w:rPr>
                <w:rFonts w:ascii="dcr10" w:eastAsia="Times New Roman" w:hAnsi="dcr10" w:cs="Times New Roman"/>
                <w:i/>
                <w:iCs/>
                <w:color w:val="0000FF"/>
                <w:sz w:val="18"/>
                <w:szCs w:val="18"/>
              </w:rPr>
              <w:t>1.42</w:t>
            </w:r>
          </w:p>
        </w:tc>
      </w:tr>
    </w:tbl>
    <w:p w14:paraId="42350843" w14:textId="77777777" w:rsidR="00161321" w:rsidRPr="00E21717" w:rsidRDefault="00161321" w:rsidP="002144A2">
      <w:pPr>
        <w:rPr>
          <w:rFonts w:ascii="dcr10" w:hAnsi="dcr10"/>
        </w:rPr>
        <w:sectPr w:rsidR="00161321" w:rsidRPr="00E21717" w:rsidSect="00185983">
          <w:pgSz w:w="12240" w:h="15840"/>
          <w:pgMar w:top="1296" w:right="1296" w:bottom="1296" w:left="1296" w:header="720" w:footer="720" w:gutter="0"/>
          <w:cols w:space="720"/>
          <w:docGrid w:linePitch="360"/>
        </w:sectPr>
      </w:pPr>
    </w:p>
    <w:p w14:paraId="79A0689D" w14:textId="600FCB08" w:rsidR="0008261B" w:rsidRPr="00E21717" w:rsidRDefault="0008261B" w:rsidP="0008261B">
      <w:pPr>
        <w:spacing w:after="120"/>
        <w:jc w:val="center"/>
        <w:rPr>
          <w:rFonts w:ascii="dcr10" w:hAnsi="dcr10"/>
        </w:rPr>
      </w:pPr>
      <w:r w:rsidRPr="00E21717">
        <w:rPr>
          <w:rFonts w:ascii="dcr10" w:hAnsi="dcr10"/>
        </w:rPr>
        <w:lastRenderedPageBreak/>
        <w:t xml:space="preserve">Table </w:t>
      </w:r>
      <w:r w:rsidR="00C04984">
        <w:rPr>
          <w:rFonts w:ascii="dcr10" w:hAnsi="dcr10"/>
        </w:rPr>
        <w:t>II</w:t>
      </w:r>
      <w:r w:rsidR="0052181E">
        <w:rPr>
          <w:rFonts w:ascii="dcr10" w:hAnsi="dcr10"/>
        </w:rPr>
        <w:t>I</w:t>
      </w:r>
      <w:r w:rsidRPr="00E21717">
        <w:rPr>
          <w:rFonts w:ascii="dcr10" w:hAnsi="dcr10"/>
        </w:rPr>
        <w:br/>
      </w:r>
      <w:r w:rsidR="00371459">
        <w:rPr>
          <w:rFonts w:ascii="dcr10" w:hAnsi="dcr10"/>
        </w:rPr>
        <w:t>Volatility</w:t>
      </w:r>
      <w:r w:rsidRPr="00E21717">
        <w:rPr>
          <w:rFonts w:ascii="dcr10" w:hAnsi="dcr10"/>
        </w:rPr>
        <w:t xml:space="preserve"> for International Banks</w:t>
      </w:r>
    </w:p>
    <w:p w14:paraId="19DA53BC" w14:textId="77777777" w:rsidR="0008261B" w:rsidRPr="00E21717" w:rsidRDefault="0008261B" w:rsidP="0008261B">
      <w:pPr>
        <w:jc w:val="both"/>
        <w:rPr>
          <w:rFonts w:ascii="dcr10" w:hAnsi="dcr10"/>
        </w:rPr>
      </w:pPr>
    </w:p>
    <w:p w14:paraId="508991D8" w14:textId="352103EC" w:rsidR="00371459" w:rsidRPr="00E21717" w:rsidRDefault="00371459" w:rsidP="00371459">
      <w:pPr>
        <w:jc w:val="both"/>
        <w:rPr>
          <w:rFonts w:ascii="dcr10" w:hAnsi="dcr10"/>
        </w:rPr>
      </w:pPr>
      <w:r w:rsidRPr="00E21717">
        <w:rPr>
          <w:rFonts w:ascii="dcr10" w:hAnsi="dcr10"/>
        </w:rPr>
        <w:t xml:space="preserve">This table reports </w:t>
      </w:r>
      <w:r>
        <w:rPr>
          <w:rFonts w:ascii="dcr10" w:hAnsi="dcr10"/>
        </w:rPr>
        <w:t>volatility</w:t>
      </w:r>
      <w:r w:rsidRPr="00E21717">
        <w:rPr>
          <w:rFonts w:ascii="dcr10" w:hAnsi="dcr10"/>
        </w:rPr>
        <w:t xml:space="preserve"> for the thirty largest international financial institutions (excluding Chinese and American banks)</w:t>
      </w:r>
      <w:r>
        <w:rPr>
          <w:rFonts w:ascii="dcr10" w:hAnsi="dcr10"/>
        </w:rPr>
        <w:t xml:space="preserve"> for </w:t>
      </w:r>
      <w:proofErr w:type="gramStart"/>
      <w:r>
        <w:rPr>
          <w:rFonts w:ascii="dcr10" w:hAnsi="dcr10"/>
        </w:rPr>
        <w:t>whom</w:t>
      </w:r>
      <w:proofErr w:type="gramEnd"/>
      <w:r>
        <w:rPr>
          <w:rFonts w:ascii="dcr10" w:hAnsi="dcr10"/>
        </w:rPr>
        <w:t xml:space="preserve"> data is available</w:t>
      </w:r>
      <w:r w:rsidRPr="00E21717">
        <w:rPr>
          <w:rFonts w:ascii="dcr10" w:hAnsi="dcr10"/>
        </w:rPr>
        <w:t xml:space="preserve">. Pre-crisis is 2002-2007, and post-crisis is 2010-2014. We also compare pre-crisis to the most recent 2014 data. </w:t>
      </w:r>
    </w:p>
    <w:p w14:paraId="646C3C2C" w14:textId="344830EC" w:rsidR="002144A2" w:rsidRPr="00E21717" w:rsidRDefault="002144A2" w:rsidP="00D959DF">
      <w:pPr>
        <w:jc w:val="both"/>
        <w:rPr>
          <w:rFonts w:ascii="dcr10" w:hAnsi="dcr10"/>
        </w:rPr>
      </w:pPr>
    </w:p>
    <w:tbl>
      <w:tblPr>
        <w:tblpPr w:leftFromText="180" w:rightFromText="180" w:vertAnchor="page" w:horzAnchor="page" w:tblpX="1909" w:tblpY="3241"/>
        <w:tblW w:w="8487" w:type="dxa"/>
        <w:tblLook w:val="04A0" w:firstRow="1" w:lastRow="0" w:firstColumn="1" w:lastColumn="0" w:noHBand="0" w:noVBand="1"/>
      </w:tblPr>
      <w:tblGrid>
        <w:gridCol w:w="3031"/>
        <w:gridCol w:w="1879"/>
        <w:gridCol w:w="2041"/>
        <w:gridCol w:w="1536"/>
      </w:tblGrid>
      <w:tr w:rsidR="00E21717" w:rsidRPr="00E21717" w14:paraId="40BD5C59" w14:textId="77777777" w:rsidTr="00E21717">
        <w:trPr>
          <w:trHeight w:val="302"/>
        </w:trPr>
        <w:tc>
          <w:tcPr>
            <w:tcW w:w="3031" w:type="dxa"/>
            <w:tcBorders>
              <w:top w:val="single" w:sz="4" w:space="0" w:color="auto"/>
              <w:left w:val="nil"/>
              <w:bottom w:val="single" w:sz="4" w:space="0" w:color="auto"/>
              <w:right w:val="nil"/>
            </w:tcBorders>
            <w:shd w:val="clear" w:color="auto" w:fill="auto"/>
            <w:noWrap/>
            <w:vAlign w:val="center"/>
            <w:hideMark/>
          </w:tcPr>
          <w:p w14:paraId="33BE36F7" w14:textId="1D86C88D" w:rsidR="00E21717" w:rsidRPr="00E21717" w:rsidRDefault="00E21717" w:rsidP="00E21717">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 xml:space="preserve">Bank  </w:t>
            </w:r>
          </w:p>
        </w:tc>
        <w:tc>
          <w:tcPr>
            <w:tcW w:w="1879" w:type="dxa"/>
            <w:tcBorders>
              <w:top w:val="single" w:sz="4" w:space="0" w:color="auto"/>
              <w:left w:val="nil"/>
              <w:bottom w:val="single" w:sz="4" w:space="0" w:color="auto"/>
              <w:right w:val="nil"/>
            </w:tcBorders>
            <w:shd w:val="clear" w:color="auto" w:fill="auto"/>
            <w:noWrap/>
            <w:vAlign w:val="center"/>
            <w:hideMark/>
          </w:tcPr>
          <w:p w14:paraId="234F7E1E" w14:textId="65368742" w:rsidR="00E21717" w:rsidRPr="00E21717" w:rsidRDefault="00E21717" w:rsidP="00E21717">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Pre-crisis average</w:t>
            </w:r>
          </w:p>
        </w:tc>
        <w:tc>
          <w:tcPr>
            <w:tcW w:w="2041" w:type="dxa"/>
            <w:tcBorders>
              <w:top w:val="single" w:sz="4" w:space="0" w:color="auto"/>
              <w:left w:val="nil"/>
              <w:bottom w:val="single" w:sz="4" w:space="0" w:color="auto"/>
              <w:right w:val="nil"/>
            </w:tcBorders>
            <w:shd w:val="clear" w:color="auto" w:fill="auto"/>
            <w:noWrap/>
            <w:vAlign w:val="center"/>
            <w:hideMark/>
          </w:tcPr>
          <w:p w14:paraId="3BA61D50" w14:textId="45CF61E6" w:rsidR="00E21717" w:rsidRPr="00E21717" w:rsidRDefault="00E21717" w:rsidP="00E21717">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Post-crisis average</w:t>
            </w:r>
          </w:p>
        </w:tc>
        <w:tc>
          <w:tcPr>
            <w:tcW w:w="1536" w:type="dxa"/>
            <w:tcBorders>
              <w:top w:val="single" w:sz="4" w:space="0" w:color="auto"/>
              <w:left w:val="nil"/>
              <w:bottom w:val="single" w:sz="4" w:space="0" w:color="auto"/>
              <w:right w:val="nil"/>
            </w:tcBorders>
            <w:shd w:val="clear" w:color="auto" w:fill="auto"/>
            <w:noWrap/>
            <w:vAlign w:val="center"/>
            <w:hideMark/>
          </w:tcPr>
          <w:p w14:paraId="6EBF6CC9" w14:textId="4A60CEC3" w:rsidR="00E21717" w:rsidRPr="00E21717" w:rsidRDefault="00E21717" w:rsidP="00E21717">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2014 average</w:t>
            </w:r>
          </w:p>
        </w:tc>
      </w:tr>
      <w:tr w:rsidR="00371459" w:rsidRPr="00E21717" w14:paraId="20A4DF1C" w14:textId="77777777" w:rsidTr="00E21717">
        <w:trPr>
          <w:trHeight w:val="302"/>
        </w:trPr>
        <w:tc>
          <w:tcPr>
            <w:tcW w:w="3031" w:type="dxa"/>
            <w:tcBorders>
              <w:top w:val="single" w:sz="4" w:space="0" w:color="auto"/>
              <w:left w:val="nil"/>
              <w:bottom w:val="nil"/>
              <w:right w:val="nil"/>
            </w:tcBorders>
            <w:shd w:val="clear" w:color="auto" w:fill="auto"/>
            <w:noWrap/>
            <w:vAlign w:val="center"/>
            <w:hideMark/>
          </w:tcPr>
          <w:p w14:paraId="3B8C8997" w14:textId="31ABDC76" w:rsidR="00371459" w:rsidRPr="00E21717" w:rsidRDefault="00371459" w:rsidP="00C04984">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Credit </w:t>
            </w:r>
            <w:proofErr w:type="spellStart"/>
            <w:r w:rsidRPr="00E21717">
              <w:rPr>
                <w:rFonts w:ascii="dcr10" w:eastAsia="Times New Roman" w:hAnsi="dcr10" w:cs="Times New Roman"/>
                <w:color w:val="000000"/>
                <w:sz w:val="18"/>
                <w:szCs w:val="18"/>
              </w:rPr>
              <w:t>Agricole</w:t>
            </w:r>
            <w:proofErr w:type="spellEnd"/>
            <w:r w:rsidRPr="00E21717">
              <w:rPr>
                <w:rFonts w:ascii="dcr10" w:eastAsia="Times New Roman" w:hAnsi="dcr10" w:cs="Times New Roman"/>
                <w:color w:val="000000"/>
                <w:sz w:val="18"/>
                <w:szCs w:val="18"/>
              </w:rPr>
              <w:t xml:space="preserve"> Group</w:t>
            </w:r>
          </w:p>
        </w:tc>
        <w:tc>
          <w:tcPr>
            <w:tcW w:w="1879" w:type="dxa"/>
            <w:tcBorders>
              <w:top w:val="single" w:sz="4" w:space="0" w:color="auto"/>
              <w:left w:val="nil"/>
              <w:bottom w:val="nil"/>
              <w:right w:val="nil"/>
            </w:tcBorders>
            <w:shd w:val="clear" w:color="auto" w:fill="auto"/>
            <w:noWrap/>
            <w:vAlign w:val="center"/>
            <w:hideMark/>
          </w:tcPr>
          <w:p w14:paraId="198735BB" w14:textId="6A7676E1"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26.91</w:t>
            </w:r>
          </w:p>
        </w:tc>
        <w:tc>
          <w:tcPr>
            <w:tcW w:w="2041" w:type="dxa"/>
            <w:tcBorders>
              <w:top w:val="single" w:sz="4" w:space="0" w:color="auto"/>
              <w:left w:val="nil"/>
              <w:bottom w:val="nil"/>
              <w:right w:val="nil"/>
            </w:tcBorders>
            <w:shd w:val="clear" w:color="auto" w:fill="auto"/>
            <w:noWrap/>
            <w:vAlign w:val="center"/>
            <w:hideMark/>
          </w:tcPr>
          <w:p w14:paraId="73251289" w14:textId="6B648337"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45.75</w:t>
            </w:r>
          </w:p>
        </w:tc>
        <w:tc>
          <w:tcPr>
            <w:tcW w:w="1536" w:type="dxa"/>
            <w:tcBorders>
              <w:top w:val="single" w:sz="4" w:space="0" w:color="auto"/>
              <w:left w:val="nil"/>
              <w:bottom w:val="nil"/>
              <w:right w:val="nil"/>
            </w:tcBorders>
            <w:shd w:val="clear" w:color="auto" w:fill="auto"/>
            <w:noWrap/>
            <w:vAlign w:val="center"/>
            <w:hideMark/>
          </w:tcPr>
          <w:p w14:paraId="7044F62C" w14:textId="78A85E33"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28.67</w:t>
            </w:r>
          </w:p>
        </w:tc>
      </w:tr>
      <w:tr w:rsidR="00371459" w:rsidRPr="00E21717" w14:paraId="07A44B90" w14:textId="77777777" w:rsidTr="00E21717">
        <w:trPr>
          <w:trHeight w:val="302"/>
        </w:trPr>
        <w:tc>
          <w:tcPr>
            <w:tcW w:w="3031" w:type="dxa"/>
            <w:tcBorders>
              <w:top w:val="nil"/>
              <w:left w:val="nil"/>
              <w:bottom w:val="nil"/>
              <w:right w:val="nil"/>
            </w:tcBorders>
            <w:shd w:val="clear" w:color="auto" w:fill="auto"/>
            <w:noWrap/>
            <w:vAlign w:val="center"/>
            <w:hideMark/>
          </w:tcPr>
          <w:p w14:paraId="70100904" w14:textId="394EC058" w:rsidR="00371459" w:rsidRPr="00E21717" w:rsidRDefault="00371459" w:rsidP="00C04984">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Australia &amp; NZ Bank</w:t>
            </w:r>
          </w:p>
        </w:tc>
        <w:tc>
          <w:tcPr>
            <w:tcW w:w="1879" w:type="dxa"/>
            <w:tcBorders>
              <w:top w:val="nil"/>
              <w:left w:val="nil"/>
              <w:bottom w:val="nil"/>
              <w:right w:val="nil"/>
            </w:tcBorders>
            <w:shd w:val="clear" w:color="auto" w:fill="auto"/>
            <w:noWrap/>
            <w:vAlign w:val="center"/>
            <w:hideMark/>
          </w:tcPr>
          <w:p w14:paraId="3236C21C" w14:textId="7FC4B81C"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17.17</w:t>
            </w:r>
          </w:p>
        </w:tc>
        <w:tc>
          <w:tcPr>
            <w:tcW w:w="2041" w:type="dxa"/>
            <w:tcBorders>
              <w:top w:val="nil"/>
              <w:left w:val="nil"/>
              <w:bottom w:val="nil"/>
              <w:right w:val="nil"/>
            </w:tcBorders>
            <w:shd w:val="clear" w:color="auto" w:fill="auto"/>
            <w:noWrap/>
            <w:vAlign w:val="center"/>
            <w:hideMark/>
          </w:tcPr>
          <w:p w14:paraId="79C1761F" w14:textId="597F41D4"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21.41</w:t>
            </w:r>
          </w:p>
        </w:tc>
        <w:tc>
          <w:tcPr>
            <w:tcW w:w="1536" w:type="dxa"/>
            <w:tcBorders>
              <w:top w:val="nil"/>
              <w:left w:val="nil"/>
              <w:bottom w:val="nil"/>
              <w:right w:val="nil"/>
            </w:tcBorders>
            <w:shd w:val="clear" w:color="auto" w:fill="auto"/>
            <w:noWrap/>
            <w:vAlign w:val="center"/>
            <w:hideMark/>
          </w:tcPr>
          <w:p w14:paraId="0DDD8E2F" w14:textId="2F36270F"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16.31</w:t>
            </w:r>
          </w:p>
        </w:tc>
      </w:tr>
      <w:tr w:rsidR="00371459" w:rsidRPr="00E21717" w14:paraId="737C6AC4" w14:textId="77777777" w:rsidTr="00E21717">
        <w:trPr>
          <w:trHeight w:val="302"/>
        </w:trPr>
        <w:tc>
          <w:tcPr>
            <w:tcW w:w="3031" w:type="dxa"/>
            <w:tcBorders>
              <w:top w:val="nil"/>
              <w:left w:val="nil"/>
              <w:bottom w:val="nil"/>
              <w:right w:val="nil"/>
            </w:tcBorders>
            <w:shd w:val="clear" w:color="auto" w:fill="auto"/>
            <w:noWrap/>
            <w:vAlign w:val="center"/>
            <w:hideMark/>
          </w:tcPr>
          <w:p w14:paraId="44F3866A" w14:textId="28060ED8" w:rsidR="00371459" w:rsidRPr="00E21717" w:rsidRDefault="00371459" w:rsidP="00C04984">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Banco</w:t>
            </w:r>
            <w:proofErr w:type="spellEnd"/>
            <w:r w:rsidRPr="00E21717">
              <w:rPr>
                <w:rFonts w:ascii="dcr10" w:eastAsia="Times New Roman" w:hAnsi="dcr10" w:cs="Times New Roman"/>
                <w:color w:val="000000"/>
                <w:sz w:val="18"/>
                <w:szCs w:val="18"/>
              </w:rPr>
              <w:t xml:space="preserve"> do </w:t>
            </w:r>
            <w:proofErr w:type="spellStart"/>
            <w:r w:rsidRPr="00E21717">
              <w:rPr>
                <w:rFonts w:ascii="dcr10" w:eastAsia="Times New Roman" w:hAnsi="dcr10" w:cs="Times New Roman"/>
                <w:color w:val="000000"/>
                <w:sz w:val="18"/>
                <w:szCs w:val="18"/>
              </w:rPr>
              <w:t>Brasil</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4D7865B3" w14:textId="506F54F0"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43.80</w:t>
            </w:r>
          </w:p>
        </w:tc>
        <w:tc>
          <w:tcPr>
            <w:tcW w:w="2041" w:type="dxa"/>
            <w:tcBorders>
              <w:top w:val="nil"/>
              <w:left w:val="nil"/>
              <w:bottom w:val="nil"/>
              <w:right w:val="nil"/>
            </w:tcBorders>
            <w:shd w:val="clear" w:color="auto" w:fill="auto"/>
            <w:noWrap/>
            <w:vAlign w:val="center"/>
            <w:hideMark/>
          </w:tcPr>
          <w:p w14:paraId="1EE27206" w14:textId="5081B4F2"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32.14</w:t>
            </w:r>
          </w:p>
        </w:tc>
        <w:tc>
          <w:tcPr>
            <w:tcW w:w="1536" w:type="dxa"/>
            <w:tcBorders>
              <w:top w:val="nil"/>
              <w:left w:val="nil"/>
              <w:bottom w:val="nil"/>
              <w:right w:val="nil"/>
            </w:tcBorders>
            <w:shd w:val="clear" w:color="auto" w:fill="auto"/>
            <w:noWrap/>
            <w:vAlign w:val="center"/>
            <w:hideMark/>
          </w:tcPr>
          <w:p w14:paraId="703D1C87" w14:textId="50E4B036"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35.54</w:t>
            </w:r>
          </w:p>
        </w:tc>
      </w:tr>
      <w:tr w:rsidR="00371459" w:rsidRPr="00E21717" w14:paraId="2A8015E0" w14:textId="77777777" w:rsidTr="00E21717">
        <w:trPr>
          <w:trHeight w:val="302"/>
        </w:trPr>
        <w:tc>
          <w:tcPr>
            <w:tcW w:w="3031" w:type="dxa"/>
            <w:tcBorders>
              <w:top w:val="nil"/>
              <w:left w:val="nil"/>
              <w:bottom w:val="nil"/>
              <w:right w:val="nil"/>
            </w:tcBorders>
            <w:shd w:val="clear" w:color="auto" w:fill="auto"/>
            <w:noWrap/>
            <w:vAlign w:val="center"/>
            <w:hideMark/>
          </w:tcPr>
          <w:p w14:paraId="0718C7A2" w14:textId="1D207523" w:rsidR="00371459" w:rsidRPr="00E21717" w:rsidRDefault="00371459" w:rsidP="00C04984">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Bank of Montreal </w:t>
            </w:r>
          </w:p>
        </w:tc>
        <w:tc>
          <w:tcPr>
            <w:tcW w:w="1879" w:type="dxa"/>
            <w:tcBorders>
              <w:top w:val="nil"/>
              <w:left w:val="nil"/>
              <w:bottom w:val="nil"/>
              <w:right w:val="nil"/>
            </w:tcBorders>
            <w:shd w:val="clear" w:color="auto" w:fill="auto"/>
            <w:noWrap/>
            <w:vAlign w:val="center"/>
            <w:hideMark/>
          </w:tcPr>
          <w:p w14:paraId="5CAF5104" w14:textId="4092CFD3"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17.51</w:t>
            </w:r>
          </w:p>
        </w:tc>
        <w:tc>
          <w:tcPr>
            <w:tcW w:w="2041" w:type="dxa"/>
            <w:tcBorders>
              <w:top w:val="nil"/>
              <w:left w:val="nil"/>
              <w:bottom w:val="nil"/>
              <w:right w:val="nil"/>
            </w:tcBorders>
            <w:shd w:val="clear" w:color="auto" w:fill="auto"/>
            <w:noWrap/>
            <w:vAlign w:val="center"/>
            <w:hideMark/>
          </w:tcPr>
          <w:p w14:paraId="4CC3E503" w14:textId="0B7101A0"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16.32</w:t>
            </w:r>
          </w:p>
        </w:tc>
        <w:tc>
          <w:tcPr>
            <w:tcW w:w="1536" w:type="dxa"/>
            <w:tcBorders>
              <w:top w:val="nil"/>
              <w:left w:val="nil"/>
              <w:bottom w:val="nil"/>
              <w:right w:val="nil"/>
            </w:tcBorders>
            <w:shd w:val="clear" w:color="auto" w:fill="auto"/>
            <w:noWrap/>
            <w:vAlign w:val="center"/>
            <w:hideMark/>
          </w:tcPr>
          <w:p w14:paraId="123586C6" w14:textId="38CFC23A"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11.07</w:t>
            </w:r>
          </w:p>
        </w:tc>
      </w:tr>
      <w:tr w:rsidR="00371459" w:rsidRPr="00E21717" w14:paraId="4AEE601F" w14:textId="77777777" w:rsidTr="00E21717">
        <w:trPr>
          <w:trHeight w:val="302"/>
        </w:trPr>
        <w:tc>
          <w:tcPr>
            <w:tcW w:w="3031" w:type="dxa"/>
            <w:tcBorders>
              <w:top w:val="nil"/>
              <w:left w:val="nil"/>
              <w:bottom w:val="nil"/>
              <w:right w:val="nil"/>
            </w:tcBorders>
            <w:shd w:val="clear" w:color="auto" w:fill="auto"/>
            <w:noWrap/>
            <w:vAlign w:val="center"/>
            <w:hideMark/>
          </w:tcPr>
          <w:p w14:paraId="76B012BE" w14:textId="56B425A6" w:rsidR="00371459" w:rsidRPr="00E21717" w:rsidRDefault="00371459" w:rsidP="00C04984">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Barclays PLC</w:t>
            </w:r>
          </w:p>
        </w:tc>
        <w:tc>
          <w:tcPr>
            <w:tcW w:w="1879" w:type="dxa"/>
            <w:tcBorders>
              <w:top w:val="nil"/>
              <w:left w:val="nil"/>
              <w:bottom w:val="nil"/>
              <w:right w:val="nil"/>
            </w:tcBorders>
            <w:shd w:val="clear" w:color="auto" w:fill="auto"/>
            <w:noWrap/>
            <w:vAlign w:val="center"/>
            <w:hideMark/>
          </w:tcPr>
          <w:p w14:paraId="5BCC0373" w14:textId="1C5CA4DE"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28.47</w:t>
            </w:r>
          </w:p>
        </w:tc>
        <w:tc>
          <w:tcPr>
            <w:tcW w:w="2041" w:type="dxa"/>
            <w:tcBorders>
              <w:top w:val="nil"/>
              <w:left w:val="nil"/>
              <w:bottom w:val="nil"/>
              <w:right w:val="nil"/>
            </w:tcBorders>
            <w:shd w:val="clear" w:color="auto" w:fill="auto"/>
            <w:noWrap/>
            <w:vAlign w:val="center"/>
            <w:hideMark/>
          </w:tcPr>
          <w:p w14:paraId="3CAD3981" w14:textId="1378B227"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44.11</w:t>
            </w:r>
          </w:p>
        </w:tc>
        <w:tc>
          <w:tcPr>
            <w:tcW w:w="1536" w:type="dxa"/>
            <w:tcBorders>
              <w:top w:val="nil"/>
              <w:left w:val="nil"/>
              <w:bottom w:val="nil"/>
              <w:right w:val="nil"/>
            </w:tcBorders>
            <w:shd w:val="clear" w:color="auto" w:fill="auto"/>
            <w:noWrap/>
            <w:vAlign w:val="center"/>
            <w:hideMark/>
          </w:tcPr>
          <w:p w14:paraId="5C83E4D3" w14:textId="5D76CBBB"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25.40</w:t>
            </w:r>
          </w:p>
        </w:tc>
      </w:tr>
      <w:tr w:rsidR="00371459" w:rsidRPr="00E21717" w14:paraId="507786E2" w14:textId="77777777" w:rsidTr="00E21717">
        <w:trPr>
          <w:trHeight w:val="302"/>
        </w:trPr>
        <w:tc>
          <w:tcPr>
            <w:tcW w:w="3031" w:type="dxa"/>
            <w:tcBorders>
              <w:top w:val="nil"/>
              <w:left w:val="nil"/>
              <w:bottom w:val="nil"/>
              <w:right w:val="nil"/>
            </w:tcBorders>
            <w:shd w:val="clear" w:color="auto" w:fill="auto"/>
            <w:noWrap/>
            <w:vAlign w:val="center"/>
            <w:hideMark/>
          </w:tcPr>
          <w:p w14:paraId="35EA6D90" w14:textId="0ACBE7FD" w:rsidR="00371459" w:rsidRPr="00E21717" w:rsidRDefault="00371459" w:rsidP="00C04984">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BNP Paribas</w:t>
            </w:r>
          </w:p>
        </w:tc>
        <w:tc>
          <w:tcPr>
            <w:tcW w:w="1879" w:type="dxa"/>
            <w:tcBorders>
              <w:top w:val="nil"/>
              <w:left w:val="nil"/>
              <w:bottom w:val="nil"/>
              <w:right w:val="nil"/>
            </w:tcBorders>
            <w:shd w:val="clear" w:color="auto" w:fill="auto"/>
            <w:noWrap/>
            <w:vAlign w:val="center"/>
            <w:hideMark/>
          </w:tcPr>
          <w:p w14:paraId="7D7A0127" w14:textId="5778EA5A"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27.90</w:t>
            </w:r>
          </w:p>
        </w:tc>
        <w:tc>
          <w:tcPr>
            <w:tcW w:w="2041" w:type="dxa"/>
            <w:tcBorders>
              <w:top w:val="nil"/>
              <w:left w:val="nil"/>
              <w:bottom w:val="nil"/>
              <w:right w:val="nil"/>
            </w:tcBorders>
            <w:shd w:val="clear" w:color="auto" w:fill="auto"/>
            <w:noWrap/>
            <w:vAlign w:val="center"/>
            <w:hideMark/>
          </w:tcPr>
          <w:p w14:paraId="4C8B3F2F" w14:textId="6597C244"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41.04</w:t>
            </w:r>
          </w:p>
        </w:tc>
        <w:tc>
          <w:tcPr>
            <w:tcW w:w="1536" w:type="dxa"/>
            <w:tcBorders>
              <w:top w:val="nil"/>
              <w:left w:val="nil"/>
              <w:bottom w:val="nil"/>
              <w:right w:val="nil"/>
            </w:tcBorders>
            <w:shd w:val="clear" w:color="auto" w:fill="auto"/>
            <w:noWrap/>
            <w:vAlign w:val="center"/>
            <w:hideMark/>
          </w:tcPr>
          <w:p w14:paraId="1503DE65" w14:textId="19A2F12B"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24.01</w:t>
            </w:r>
          </w:p>
        </w:tc>
      </w:tr>
      <w:tr w:rsidR="00371459" w:rsidRPr="00E21717" w14:paraId="3585472A" w14:textId="77777777" w:rsidTr="00E21717">
        <w:trPr>
          <w:trHeight w:val="302"/>
        </w:trPr>
        <w:tc>
          <w:tcPr>
            <w:tcW w:w="3031" w:type="dxa"/>
            <w:tcBorders>
              <w:top w:val="nil"/>
              <w:left w:val="nil"/>
              <w:bottom w:val="nil"/>
              <w:right w:val="nil"/>
            </w:tcBorders>
            <w:shd w:val="clear" w:color="auto" w:fill="auto"/>
            <w:noWrap/>
            <w:vAlign w:val="center"/>
            <w:hideMark/>
          </w:tcPr>
          <w:p w14:paraId="23552E47" w14:textId="11A68212" w:rsidR="00371459" w:rsidRPr="00E21717" w:rsidRDefault="00371459" w:rsidP="00C04984">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Commerzbank </w:t>
            </w:r>
          </w:p>
        </w:tc>
        <w:tc>
          <w:tcPr>
            <w:tcW w:w="1879" w:type="dxa"/>
            <w:tcBorders>
              <w:top w:val="nil"/>
              <w:left w:val="nil"/>
              <w:bottom w:val="nil"/>
              <w:right w:val="nil"/>
            </w:tcBorders>
            <w:shd w:val="clear" w:color="auto" w:fill="auto"/>
            <w:noWrap/>
            <w:vAlign w:val="center"/>
            <w:hideMark/>
          </w:tcPr>
          <w:p w14:paraId="15DD0DB9" w14:textId="651FB1D4"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36.18</w:t>
            </w:r>
          </w:p>
        </w:tc>
        <w:tc>
          <w:tcPr>
            <w:tcW w:w="2041" w:type="dxa"/>
            <w:tcBorders>
              <w:top w:val="nil"/>
              <w:left w:val="nil"/>
              <w:bottom w:val="nil"/>
              <w:right w:val="nil"/>
            </w:tcBorders>
            <w:shd w:val="clear" w:color="auto" w:fill="auto"/>
            <w:noWrap/>
            <w:vAlign w:val="center"/>
            <w:hideMark/>
          </w:tcPr>
          <w:p w14:paraId="5C6420F6" w14:textId="6CA2400B"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47.83</w:t>
            </w:r>
          </w:p>
        </w:tc>
        <w:tc>
          <w:tcPr>
            <w:tcW w:w="1536" w:type="dxa"/>
            <w:tcBorders>
              <w:top w:val="nil"/>
              <w:left w:val="nil"/>
              <w:bottom w:val="nil"/>
              <w:right w:val="nil"/>
            </w:tcBorders>
            <w:shd w:val="clear" w:color="auto" w:fill="auto"/>
            <w:noWrap/>
            <w:vAlign w:val="center"/>
            <w:hideMark/>
          </w:tcPr>
          <w:p w14:paraId="08516466" w14:textId="04E9348D"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40.57</w:t>
            </w:r>
          </w:p>
        </w:tc>
      </w:tr>
      <w:tr w:rsidR="00371459" w:rsidRPr="00E21717" w14:paraId="3B6CB79B" w14:textId="77777777" w:rsidTr="00E21717">
        <w:trPr>
          <w:trHeight w:val="302"/>
        </w:trPr>
        <w:tc>
          <w:tcPr>
            <w:tcW w:w="3031" w:type="dxa"/>
            <w:tcBorders>
              <w:top w:val="nil"/>
              <w:left w:val="nil"/>
              <w:bottom w:val="nil"/>
              <w:right w:val="nil"/>
            </w:tcBorders>
            <w:shd w:val="clear" w:color="auto" w:fill="auto"/>
            <w:noWrap/>
            <w:vAlign w:val="center"/>
            <w:hideMark/>
          </w:tcPr>
          <w:p w14:paraId="5507F33E" w14:textId="60D16952" w:rsidR="00371459" w:rsidRPr="00E21717" w:rsidRDefault="00371459" w:rsidP="00C04984">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Credit Suisse Group </w:t>
            </w:r>
          </w:p>
        </w:tc>
        <w:tc>
          <w:tcPr>
            <w:tcW w:w="1879" w:type="dxa"/>
            <w:tcBorders>
              <w:top w:val="nil"/>
              <w:left w:val="nil"/>
              <w:bottom w:val="nil"/>
              <w:right w:val="nil"/>
            </w:tcBorders>
            <w:shd w:val="clear" w:color="auto" w:fill="auto"/>
            <w:noWrap/>
            <w:vAlign w:val="center"/>
            <w:hideMark/>
          </w:tcPr>
          <w:p w14:paraId="2D0B7B53" w14:textId="762F0DAA"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33.51</w:t>
            </w:r>
          </w:p>
        </w:tc>
        <w:tc>
          <w:tcPr>
            <w:tcW w:w="2041" w:type="dxa"/>
            <w:tcBorders>
              <w:top w:val="nil"/>
              <w:left w:val="nil"/>
              <w:bottom w:val="nil"/>
              <w:right w:val="nil"/>
            </w:tcBorders>
            <w:shd w:val="clear" w:color="auto" w:fill="auto"/>
            <w:noWrap/>
            <w:vAlign w:val="center"/>
            <w:hideMark/>
          </w:tcPr>
          <w:p w14:paraId="2C86E4E9" w14:textId="6C98B359"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33.75</w:t>
            </w:r>
          </w:p>
        </w:tc>
        <w:tc>
          <w:tcPr>
            <w:tcW w:w="1536" w:type="dxa"/>
            <w:tcBorders>
              <w:top w:val="nil"/>
              <w:left w:val="nil"/>
              <w:bottom w:val="nil"/>
              <w:right w:val="nil"/>
            </w:tcBorders>
            <w:shd w:val="clear" w:color="auto" w:fill="auto"/>
            <w:noWrap/>
            <w:vAlign w:val="center"/>
            <w:hideMark/>
          </w:tcPr>
          <w:p w14:paraId="4E089C9B" w14:textId="4D7047D2"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22.81</w:t>
            </w:r>
          </w:p>
        </w:tc>
      </w:tr>
      <w:tr w:rsidR="00371459" w:rsidRPr="00E21717" w14:paraId="406FF4DA" w14:textId="77777777" w:rsidTr="00E21717">
        <w:trPr>
          <w:trHeight w:val="302"/>
        </w:trPr>
        <w:tc>
          <w:tcPr>
            <w:tcW w:w="3031" w:type="dxa"/>
            <w:tcBorders>
              <w:top w:val="nil"/>
              <w:left w:val="nil"/>
              <w:bottom w:val="nil"/>
              <w:right w:val="nil"/>
            </w:tcBorders>
            <w:shd w:val="clear" w:color="auto" w:fill="auto"/>
            <w:noWrap/>
            <w:vAlign w:val="center"/>
            <w:hideMark/>
          </w:tcPr>
          <w:p w14:paraId="54CC9238" w14:textId="16A5AB78" w:rsidR="00371459" w:rsidRPr="00E21717" w:rsidRDefault="00371459" w:rsidP="00C04984">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Danske</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4712512D" w14:textId="6824BF1D"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23.28</w:t>
            </w:r>
          </w:p>
        </w:tc>
        <w:tc>
          <w:tcPr>
            <w:tcW w:w="2041" w:type="dxa"/>
            <w:tcBorders>
              <w:top w:val="nil"/>
              <w:left w:val="nil"/>
              <w:bottom w:val="nil"/>
              <w:right w:val="nil"/>
            </w:tcBorders>
            <w:shd w:val="clear" w:color="auto" w:fill="auto"/>
            <w:noWrap/>
            <w:vAlign w:val="center"/>
            <w:hideMark/>
          </w:tcPr>
          <w:p w14:paraId="24C0F53B" w14:textId="6551F2D4"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34.30</w:t>
            </w:r>
          </w:p>
        </w:tc>
        <w:tc>
          <w:tcPr>
            <w:tcW w:w="1536" w:type="dxa"/>
            <w:tcBorders>
              <w:top w:val="nil"/>
              <w:left w:val="nil"/>
              <w:bottom w:val="nil"/>
              <w:right w:val="nil"/>
            </w:tcBorders>
            <w:shd w:val="clear" w:color="auto" w:fill="auto"/>
            <w:noWrap/>
            <w:vAlign w:val="center"/>
            <w:hideMark/>
          </w:tcPr>
          <w:p w14:paraId="198C8FA9" w14:textId="3A37C91F"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22.32</w:t>
            </w:r>
          </w:p>
        </w:tc>
      </w:tr>
      <w:tr w:rsidR="00371459" w:rsidRPr="00E21717" w14:paraId="425489B9" w14:textId="77777777" w:rsidTr="00E21717">
        <w:trPr>
          <w:trHeight w:val="302"/>
        </w:trPr>
        <w:tc>
          <w:tcPr>
            <w:tcW w:w="3031" w:type="dxa"/>
            <w:tcBorders>
              <w:top w:val="nil"/>
              <w:left w:val="nil"/>
              <w:bottom w:val="nil"/>
              <w:right w:val="nil"/>
            </w:tcBorders>
            <w:shd w:val="clear" w:color="auto" w:fill="auto"/>
            <w:noWrap/>
            <w:vAlign w:val="center"/>
            <w:hideMark/>
          </w:tcPr>
          <w:p w14:paraId="22111A5A" w14:textId="4F127040" w:rsidR="00371459" w:rsidRPr="00E21717" w:rsidRDefault="00371459" w:rsidP="00C04984">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Deutsche Bank </w:t>
            </w:r>
          </w:p>
        </w:tc>
        <w:tc>
          <w:tcPr>
            <w:tcW w:w="1879" w:type="dxa"/>
            <w:tcBorders>
              <w:top w:val="nil"/>
              <w:left w:val="nil"/>
              <w:bottom w:val="nil"/>
              <w:right w:val="nil"/>
            </w:tcBorders>
            <w:shd w:val="clear" w:color="auto" w:fill="auto"/>
            <w:noWrap/>
            <w:vAlign w:val="center"/>
            <w:hideMark/>
          </w:tcPr>
          <w:p w14:paraId="052CA94B" w14:textId="6A99B0DF"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30.53</w:t>
            </w:r>
          </w:p>
        </w:tc>
        <w:tc>
          <w:tcPr>
            <w:tcW w:w="2041" w:type="dxa"/>
            <w:tcBorders>
              <w:top w:val="nil"/>
              <w:left w:val="nil"/>
              <w:bottom w:val="nil"/>
              <w:right w:val="nil"/>
            </w:tcBorders>
            <w:shd w:val="clear" w:color="auto" w:fill="auto"/>
            <w:noWrap/>
            <w:vAlign w:val="center"/>
            <w:hideMark/>
          </w:tcPr>
          <w:p w14:paraId="1D67575F" w14:textId="37420F6D"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36.46</w:t>
            </w:r>
          </w:p>
        </w:tc>
        <w:tc>
          <w:tcPr>
            <w:tcW w:w="1536" w:type="dxa"/>
            <w:tcBorders>
              <w:top w:val="nil"/>
              <w:left w:val="nil"/>
              <w:bottom w:val="nil"/>
              <w:right w:val="nil"/>
            </w:tcBorders>
            <w:shd w:val="clear" w:color="auto" w:fill="auto"/>
            <w:noWrap/>
            <w:vAlign w:val="center"/>
            <w:hideMark/>
          </w:tcPr>
          <w:p w14:paraId="208FA909" w14:textId="674C3609"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23.82</w:t>
            </w:r>
          </w:p>
        </w:tc>
      </w:tr>
      <w:tr w:rsidR="00371459" w:rsidRPr="00E21717" w14:paraId="17B728F8" w14:textId="77777777" w:rsidTr="00E21717">
        <w:trPr>
          <w:trHeight w:val="302"/>
        </w:trPr>
        <w:tc>
          <w:tcPr>
            <w:tcW w:w="3031" w:type="dxa"/>
            <w:tcBorders>
              <w:top w:val="nil"/>
              <w:left w:val="nil"/>
              <w:bottom w:val="nil"/>
              <w:right w:val="nil"/>
            </w:tcBorders>
            <w:shd w:val="clear" w:color="auto" w:fill="auto"/>
            <w:noWrap/>
            <w:vAlign w:val="center"/>
            <w:hideMark/>
          </w:tcPr>
          <w:p w14:paraId="403454AD" w14:textId="6A7FCB73" w:rsidR="00371459" w:rsidRPr="00E21717" w:rsidRDefault="00371459" w:rsidP="00C04984">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HSBC Holdings</w:t>
            </w:r>
          </w:p>
        </w:tc>
        <w:tc>
          <w:tcPr>
            <w:tcW w:w="1879" w:type="dxa"/>
            <w:tcBorders>
              <w:top w:val="nil"/>
              <w:left w:val="nil"/>
              <w:bottom w:val="nil"/>
              <w:right w:val="nil"/>
            </w:tcBorders>
            <w:shd w:val="clear" w:color="auto" w:fill="auto"/>
            <w:noWrap/>
            <w:vAlign w:val="center"/>
            <w:hideMark/>
          </w:tcPr>
          <w:p w14:paraId="32A13BDA" w14:textId="58218225"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18.95</w:t>
            </w:r>
          </w:p>
        </w:tc>
        <w:tc>
          <w:tcPr>
            <w:tcW w:w="2041" w:type="dxa"/>
            <w:tcBorders>
              <w:top w:val="nil"/>
              <w:left w:val="nil"/>
              <w:bottom w:val="nil"/>
              <w:right w:val="nil"/>
            </w:tcBorders>
            <w:shd w:val="clear" w:color="auto" w:fill="auto"/>
            <w:noWrap/>
            <w:vAlign w:val="center"/>
            <w:hideMark/>
          </w:tcPr>
          <w:p w14:paraId="6E81ED37" w14:textId="22045B79"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23.88</w:t>
            </w:r>
          </w:p>
        </w:tc>
        <w:tc>
          <w:tcPr>
            <w:tcW w:w="1536" w:type="dxa"/>
            <w:tcBorders>
              <w:top w:val="nil"/>
              <w:left w:val="nil"/>
              <w:bottom w:val="nil"/>
              <w:right w:val="nil"/>
            </w:tcBorders>
            <w:shd w:val="clear" w:color="auto" w:fill="auto"/>
            <w:noWrap/>
            <w:vAlign w:val="center"/>
            <w:hideMark/>
          </w:tcPr>
          <w:p w14:paraId="09763AB7" w14:textId="36403129"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16.61</w:t>
            </w:r>
          </w:p>
        </w:tc>
      </w:tr>
      <w:tr w:rsidR="00371459" w:rsidRPr="00E21717" w14:paraId="143BC40D" w14:textId="77777777" w:rsidTr="00E21717">
        <w:trPr>
          <w:trHeight w:val="302"/>
        </w:trPr>
        <w:tc>
          <w:tcPr>
            <w:tcW w:w="3031" w:type="dxa"/>
            <w:tcBorders>
              <w:top w:val="nil"/>
              <w:left w:val="nil"/>
              <w:bottom w:val="nil"/>
              <w:right w:val="nil"/>
            </w:tcBorders>
            <w:shd w:val="clear" w:color="auto" w:fill="auto"/>
            <w:noWrap/>
            <w:vAlign w:val="center"/>
            <w:hideMark/>
          </w:tcPr>
          <w:p w14:paraId="68AB6531" w14:textId="7CFCCD69" w:rsidR="00371459" w:rsidRPr="00E21717" w:rsidRDefault="00371459" w:rsidP="00C04984">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ING Bank N.V. </w:t>
            </w:r>
          </w:p>
        </w:tc>
        <w:tc>
          <w:tcPr>
            <w:tcW w:w="1879" w:type="dxa"/>
            <w:tcBorders>
              <w:top w:val="nil"/>
              <w:left w:val="nil"/>
              <w:bottom w:val="nil"/>
              <w:right w:val="nil"/>
            </w:tcBorders>
            <w:shd w:val="clear" w:color="auto" w:fill="auto"/>
            <w:noWrap/>
            <w:vAlign w:val="center"/>
            <w:hideMark/>
          </w:tcPr>
          <w:p w14:paraId="1256045C" w14:textId="18698634"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34.61</w:t>
            </w:r>
          </w:p>
        </w:tc>
        <w:tc>
          <w:tcPr>
            <w:tcW w:w="2041" w:type="dxa"/>
            <w:tcBorders>
              <w:top w:val="nil"/>
              <w:left w:val="nil"/>
              <w:bottom w:val="nil"/>
              <w:right w:val="nil"/>
            </w:tcBorders>
            <w:shd w:val="clear" w:color="auto" w:fill="auto"/>
            <w:noWrap/>
            <w:vAlign w:val="center"/>
            <w:hideMark/>
          </w:tcPr>
          <w:p w14:paraId="08F2050F" w14:textId="5FB38C81"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45.90</w:t>
            </w:r>
          </w:p>
        </w:tc>
        <w:tc>
          <w:tcPr>
            <w:tcW w:w="1536" w:type="dxa"/>
            <w:tcBorders>
              <w:top w:val="nil"/>
              <w:left w:val="nil"/>
              <w:bottom w:val="nil"/>
              <w:right w:val="nil"/>
            </w:tcBorders>
            <w:shd w:val="clear" w:color="auto" w:fill="auto"/>
            <w:noWrap/>
            <w:vAlign w:val="center"/>
            <w:hideMark/>
          </w:tcPr>
          <w:p w14:paraId="47B8B670" w14:textId="4C73D2B2"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28.37</w:t>
            </w:r>
          </w:p>
        </w:tc>
      </w:tr>
      <w:tr w:rsidR="00371459" w:rsidRPr="00E21717" w14:paraId="67989E96" w14:textId="77777777" w:rsidTr="00E21717">
        <w:trPr>
          <w:trHeight w:val="302"/>
        </w:trPr>
        <w:tc>
          <w:tcPr>
            <w:tcW w:w="3031" w:type="dxa"/>
            <w:tcBorders>
              <w:top w:val="nil"/>
              <w:left w:val="nil"/>
              <w:bottom w:val="nil"/>
              <w:right w:val="nil"/>
            </w:tcBorders>
            <w:shd w:val="clear" w:color="auto" w:fill="auto"/>
            <w:noWrap/>
            <w:vAlign w:val="center"/>
            <w:hideMark/>
          </w:tcPr>
          <w:p w14:paraId="53DCE6A3" w14:textId="72772B02" w:rsidR="00371459" w:rsidRPr="00E21717" w:rsidRDefault="00371459" w:rsidP="00C04984">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Intesa</w:t>
            </w:r>
            <w:proofErr w:type="spellEnd"/>
            <w:r w:rsidRPr="00E21717">
              <w:rPr>
                <w:rFonts w:ascii="dcr10" w:eastAsia="Times New Roman" w:hAnsi="dcr10" w:cs="Times New Roman"/>
                <w:color w:val="000000"/>
                <w:sz w:val="18"/>
                <w:szCs w:val="18"/>
              </w:rPr>
              <w:t xml:space="preserve"> </w:t>
            </w:r>
            <w:proofErr w:type="spellStart"/>
            <w:r w:rsidRPr="00E21717">
              <w:rPr>
                <w:rFonts w:ascii="dcr10" w:eastAsia="Times New Roman" w:hAnsi="dcr10" w:cs="Times New Roman"/>
                <w:color w:val="000000"/>
                <w:sz w:val="18"/>
                <w:szCs w:val="18"/>
              </w:rPr>
              <w:t>Sanpaolo</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5C88D2BB" w14:textId="09ACBC74"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30.98</w:t>
            </w:r>
          </w:p>
        </w:tc>
        <w:tc>
          <w:tcPr>
            <w:tcW w:w="2041" w:type="dxa"/>
            <w:tcBorders>
              <w:top w:val="nil"/>
              <w:left w:val="nil"/>
              <w:bottom w:val="nil"/>
              <w:right w:val="nil"/>
            </w:tcBorders>
            <w:shd w:val="clear" w:color="auto" w:fill="auto"/>
            <w:noWrap/>
            <w:vAlign w:val="center"/>
            <w:hideMark/>
          </w:tcPr>
          <w:p w14:paraId="08092FC5" w14:textId="664E870A"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46.21</w:t>
            </w:r>
          </w:p>
        </w:tc>
        <w:tc>
          <w:tcPr>
            <w:tcW w:w="1536" w:type="dxa"/>
            <w:tcBorders>
              <w:top w:val="nil"/>
              <w:left w:val="nil"/>
              <w:bottom w:val="nil"/>
              <w:right w:val="nil"/>
            </w:tcBorders>
            <w:shd w:val="clear" w:color="auto" w:fill="auto"/>
            <w:noWrap/>
            <w:vAlign w:val="center"/>
            <w:hideMark/>
          </w:tcPr>
          <w:p w14:paraId="637A5841" w14:textId="0D8D7436"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33.23</w:t>
            </w:r>
          </w:p>
        </w:tc>
      </w:tr>
      <w:tr w:rsidR="00371459" w:rsidRPr="00E21717" w14:paraId="647ABE7F" w14:textId="77777777" w:rsidTr="00E21717">
        <w:trPr>
          <w:trHeight w:val="302"/>
        </w:trPr>
        <w:tc>
          <w:tcPr>
            <w:tcW w:w="3031" w:type="dxa"/>
            <w:tcBorders>
              <w:top w:val="nil"/>
              <w:left w:val="nil"/>
              <w:bottom w:val="nil"/>
              <w:right w:val="nil"/>
            </w:tcBorders>
            <w:shd w:val="clear" w:color="auto" w:fill="auto"/>
            <w:noWrap/>
            <w:vAlign w:val="center"/>
            <w:hideMark/>
          </w:tcPr>
          <w:p w14:paraId="6508CCB0" w14:textId="2847ED51" w:rsidR="00371459" w:rsidRPr="00E21717" w:rsidRDefault="00371459" w:rsidP="00C04984">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Lloyds Banking Group </w:t>
            </w:r>
          </w:p>
        </w:tc>
        <w:tc>
          <w:tcPr>
            <w:tcW w:w="1879" w:type="dxa"/>
            <w:tcBorders>
              <w:top w:val="nil"/>
              <w:left w:val="nil"/>
              <w:bottom w:val="nil"/>
              <w:right w:val="nil"/>
            </w:tcBorders>
            <w:shd w:val="clear" w:color="auto" w:fill="auto"/>
            <w:noWrap/>
            <w:vAlign w:val="center"/>
            <w:hideMark/>
          </w:tcPr>
          <w:p w14:paraId="1DA160DE" w14:textId="4ED564FE"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26.12</w:t>
            </w:r>
          </w:p>
        </w:tc>
        <w:tc>
          <w:tcPr>
            <w:tcW w:w="2041" w:type="dxa"/>
            <w:tcBorders>
              <w:top w:val="nil"/>
              <w:left w:val="nil"/>
              <w:bottom w:val="nil"/>
              <w:right w:val="nil"/>
            </w:tcBorders>
            <w:shd w:val="clear" w:color="auto" w:fill="auto"/>
            <w:noWrap/>
            <w:vAlign w:val="center"/>
            <w:hideMark/>
          </w:tcPr>
          <w:p w14:paraId="530DF1D3" w14:textId="19342CBB"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43.62</w:t>
            </w:r>
          </w:p>
        </w:tc>
        <w:tc>
          <w:tcPr>
            <w:tcW w:w="1536" w:type="dxa"/>
            <w:tcBorders>
              <w:top w:val="nil"/>
              <w:left w:val="nil"/>
              <w:bottom w:val="nil"/>
              <w:right w:val="nil"/>
            </w:tcBorders>
            <w:shd w:val="clear" w:color="auto" w:fill="auto"/>
            <w:noWrap/>
            <w:vAlign w:val="center"/>
            <w:hideMark/>
          </w:tcPr>
          <w:p w14:paraId="590308F0" w14:textId="26C4B9C5"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24.04</w:t>
            </w:r>
          </w:p>
        </w:tc>
      </w:tr>
      <w:tr w:rsidR="00371459" w:rsidRPr="00E21717" w14:paraId="31C8589A" w14:textId="77777777" w:rsidTr="00E21717">
        <w:trPr>
          <w:trHeight w:val="302"/>
        </w:trPr>
        <w:tc>
          <w:tcPr>
            <w:tcW w:w="3031" w:type="dxa"/>
            <w:tcBorders>
              <w:top w:val="nil"/>
              <w:left w:val="nil"/>
              <w:bottom w:val="nil"/>
              <w:right w:val="nil"/>
            </w:tcBorders>
            <w:shd w:val="clear" w:color="auto" w:fill="auto"/>
            <w:noWrap/>
            <w:vAlign w:val="center"/>
            <w:hideMark/>
          </w:tcPr>
          <w:p w14:paraId="53EAE9C6" w14:textId="7BB70A85" w:rsidR="00371459" w:rsidRPr="00E21717" w:rsidRDefault="00371459" w:rsidP="00C04984">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Mitsubishi Financial Group </w:t>
            </w:r>
          </w:p>
        </w:tc>
        <w:tc>
          <w:tcPr>
            <w:tcW w:w="1879" w:type="dxa"/>
            <w:tcBorders>
              <w:top w:val="nil"/>
              <w:left w:val="nil"/>
              <w:bottom w:val="nil"/>
              <w:right w:val="nil"/>
            </w:tcBorders>
            <w:shd w:val="clear" w:color="auto" w:fill="auto"/>
            <w:noWrap/>
            <w:vAlign w:val="center"/>
            <w:hideMark/>
          </w:tcPr>
          <w:p w14:paraId="76173063" w14:textId="19F8F5B3"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37.84</w:t>
            </w:r>
          </w:p>
        </w:tc>
        <w:tc>
          <w:tcPr>
            <w:tcW w:w="2041" w:type="dxa"/>
            <w:tcBorders>
              <w:top w:val="nil"/>
              <w:left w:val="nil"/>
              <w:bottom w:val="nil"/>
              <w:right w:val="nil"/>
            </w:tcBorders>
            <w:shd w:val="clear" w:color="auto" w:fill="auto"/>
            <w:noWrap/>
            <w:vAlign w:val="center"/>
            <w:hideMark/>
          </w:tcPr>
          <w:p w14:paraId="72A82F89" w14:textId="2A8AA3E2"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30.79</w:t>
            </w:r>
          </w:p>
        </w:tc>
        <w:tc>
          <w:tcPr>
            <w:tcW w:w="1536" w:type="dxa"/>
            <w:tcBorders>
              <w:top w:val="nil"/>
              <w:left w:val="nil"/>
              <w:bottom w:val="nil"/>
              <w:right w:val="nil"/>
            </w:tcBorders>
            <w:shd w:val="clear" w:color="auto" w:fill="auto"/>
            <w:noWrap/>
            <w:vAlign w:val="center"/>
            <w:hideMark/>
          </w:tcPr>
          <w:p w14:paraId="3934986D" w14:textId="77886CBE"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28.30</w:t>
            </w:r>
          </w:p>
        </w:tc>
      </w:tr>
      <w:tr w:rsidR="00371459" w:rsidRPr="00E21717" w14:paraId="4D2B81FA" w14:textId="77777777" w:rsidTr="00E21717">
        <w:trPr>
          <w:trHeight w:val="302"/>
        </w:trPr>
        <w:tc>
          <w:tcPr>
            <w:tcW w:w="3031" w:type="dxa"/>
            <w:tcBorders>
              <w:top w:val="nil"/>
              <w:left w:val="nil"/>
              <w:bottom w:val="nil"/>
              <w:right w:val="nil"/>
            </w:tcBorders>
            <w:shd w:val="clear" w:color="auto" w:fill="auto"/>
            <w:noWrap/>
            <w:vAlign w:val="center"/>
            <w:hideMark/>
          </w:tcPr>
          <w:p w14:paraId="6DFBDEF7" w14:textId="1365D23D" w:rsidR="00371459" w:rsidRPr="00E21717" w:rsidRDefault="00371459" w:rsidP="00C04984">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Mizuho Financial Group </w:t>
            </w:r>
          </w:p>
        </w:tc>
        <w:tc>
          <w:tcPr>
            <w:tcW w:w="1879" w:type="dxa"/>
            <w:tcBorders>
              <w:top w:val="nil"/>
              <w:left w:val="nil"/>
              <w:bottom w:val="nil"/>
              <w:right w:val="nil"/>
            </w:tcBorders>
            <w:shd w:val="clear" w:color="auto" w:fill="auto"/>
            <w:noWrap/>
            <w:vAlign w:val="center"/>
            <w:hideMark/>
          </w:tcPr>
          <w:p w14:paraId="72A58D75" w14:textId="528B339B"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35.95</w:t>
            </w:r>
          </w:p>
        </w:tc>
        <w:tc>
          <w:tcPr>
            <w:tcW w:w="2041" w:type="dxa"/>
            <w:tcBorders>
              <w:top w:val="nil"/>
              <w:left w:val="nil"/>
              <w:bottom w:val="nil"/>
              <w:right w:val="nil"/>
            </w:tcBorders>
            <w:shd w:val="clear" w:color="auto" w:fill="auto"/>
            <w:noWrap/>
            <w:vAlign w:val="center"/>
            <w:hideMark/>
          </w:tcPr>
          <w:p w14:paraId="5430B8B7" w14:textId="44A1DD79"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31.02</w:t>
            </w:r>
          </w:p>
        </w:tc>
        <w:tc>
          <w:tcPr>
            <w:tcW w:w="1536" w:type="dxa"/>
            <w:tcBorders>
              <w:top w:val="nil"/>
              <w:left w:val="nil"/>
              <w:bottom w:val="nil"/>
              <w:right w:val="nil"/>
            </w:tcBorders>
            <w:shd w:val="clear" w:color="auto" w:fill="auto"/>
            <w:noWrap/>
            <w:vAlign w:val="center"/>
            <w:hideMark/>
          </w:tcPr>
          <w:p w14:paraId="6C2B1E04" w14:textId="47513FAE"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24.04</w:t>
            </w:r>
          </w:p>
        </w:tc>
      </w:tr>
      <w:tr w:rsidR="00371459" w:rsidRPr="00E21717" w14:paraId="7E372C3E" w14:textId="77777777" w:rsidTr="00E21717">
        <w:trPr>
          <w:trHeight w:val="302"/>
        </w:trPr>
        <w:tc>
          <w:tcPr>
            <w:tcW w:w="3031" w:type="dxa"/>
            <w:tcBorders>
              <w:top w:val="nil"/>
              <w:left w:val="nil"/>
              <w:bottom w:val="nil"/>
              <w:right w:val="nil"/>
            </w:tcBorders>
            <w:shd w:val="clear" w:color="auto" w:fill="auto"/>
            <w:noWrap/>
            <w:vAlign w:val="center"/>
            <w:hideMark/>
          </w:tcPr>
          <w:p w14:paraId="19263DD9" w14:textId="064E34CA" w:rsidR="00371459" w:rsidRPr="00E21717" w:rsidRDefault="00371459" w:rsidP="00C04984">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Natixis</w:t>
            </w:r>
            <w:proofErr w:type="spellEnd"/>
          </w:p>
        </w:tc>
        <w:tc>
          <w:tcPr>
            <w:tcW w:w="1879" w:type="dxa"/>
            <w:tcBorders>
              <w:top w:val="nil"/>
              <w:left w:val="nil"/>
              <w:bottom w:val="nil"/>
              <w:right w:val="nil"/>
            </w:tcBorders>
            <w:shd w:val="clear" w:color="auto" w:fill="auto"/>
            <w:noWrap/>
            <w:vAlign w:val="center"/>
            <w:hideMark/>
          </w:tcPr>
          <w:p w14:paraId="6B1F6221" w14:textId="716E659D"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21.69</w:t>
            </w:r>
          </w:p>
        </w:tc>
        <w:tc>
          <w:tcPr>
            <w:tcW w:w="2041" w:type="dxa"/>
            <w:tcBorders>
              <w:top w:val="nil"/>
              <w:left w:val="nil"/>
              <w:bottom w:val="nil"/>
              <w:right w:val="nil"/>
            </w:tcBorders>
            <w:shd w:val="clear" w:color="auto" w:fill="auto"/>
            <w:noWrap/>
            <w:vAlign w:val="center"/>
            <w:hideMark/>
          </w:tcPr>
          <w:p w14:paraId="2E0483F3" w14:textId="52464667"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46.82</w:t>
            </w:r>
          </w:p>
        </w:tc>
        <w:tc>
          <w:tcPr>
            <w:tcW w:w="1536" w:type="dxa"/>
            <w:tcBorders>
              <w:top w:val="nil"/>
              <w:left w:val="nil"/>
              <w:bottom w:val="nil"/>
              <w:right w:val="nil"/>
            </w:tcBorders>
            <w:shd w:val="clear" w:color="auto" w:fill="auto"/>
            <w:noWrap/>
            <w:vAlign w:val="center"/>
            <w:hideMark/>
          </w:tcPr>
          <w:p w14:paraId="7E46D3C5" w14:textId="3924861D"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29.22</w:t>
            </w:r>
          </w:p>
        </w:tc>
      </w:tr>
      <w:tr w:rsidR="00371459" w:rsidRPr="00E21717" w14:paraId="36B78F51" w14:textId="77777777" w:rsidTr="00E21717">
        <w:trPr>
          <w:trHeight w:val="282"/>
        </w:trPr>
        <w:tc>
          <w:tcPr>
            <w:tcW w:w="3031" w:type="dxa"/>
            <w:tcBorders>
              <w:top w:val="nil"/>
              <w:left w:val="nil"/>
              <w:bottom w:val="nil"/>
              <w:right w:val="nil"/>
            </w:tcBorders>
            <w:shd w:val="clear" w:color="auto" w:fill="auto"/>
            <w:noWrap/>
            <w:vAlign w:val="center"/>
            <w:hideMark/>
          </w:tcPr>
          <w:p w14:paraId="25A93425" w14:textId="4CB08172" w:rsidR="00371459" w:rsidRPr="00E21717" w:rsidRDefault="00371459" w:rsidP="00C04984">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National Australia Bank </w:t>
            </w:r>
          </w:p>
        </w:tc>
        <w:tc>
          <w:tcPr>
            <w:tcW w:w="1879" w:type="dxa"/>
            <w:tcBorders>
              <w:top w:val="nil"/>
              <w:left w:val="nil"/>
              <w:bottom w:val="nil"/>
              <w:right w:val="nil"/>
            </w:tcBorders>
            <w:shd w:val="clear" w:color="auto" w:fill="auto"/>
            <w:noWrap/>
            <w:vAlign w:val="center"/>
            <w:hideMark/>
          </w:tcPr>
          <w:p w14:paraId="67423F63" w14:textId="4DFC9568"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17.59</w:t>
            </w:r>
          </w:p>
        </w:tc>
        <w:tc>
          <w:tcPr>
            <w:tcW w:w="2041" w:type="dxa"/>
            <w:tcBorders>
              <w:top w:val="nil"/>
              <w:left w:val="nil"/>
              <w:bottom w:val="nil"/>
              <w:right w:val="nil"/>
            </w:tcBorders>
            <w:shd w:val="clear" w:color="auto" w:fill="auto"/>
            <w:noWrap/>
            <w:vAlign w:val="center"/>
            <w:hideMark/>
          </w:tcPr>
          <w:p w14:paraId="7386B1E5" w14:textId="5ED71093"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22.32</w:t>
            </w:r>
          </w:p>
        </w:tc>
        <w:tc>
          <w:tcPr>
            <w:tcW w:w="1536" w:type="dxa"/>
            <w:tcBorders>
              <w:top w:val="nil"/>
              <w:left w:val="nil"/>
              <w:bottom w:val="nil"/>
              <w:right w:val="nil"/>
            </w:tcBorders>
            <w:shd w:val="clear" w:color="auto" w:fill="auto"/>
            <w:noWrap/>
            <w:vAlign w:val="center"/>
            <w:hideMark/>
          </w:tcPr>
          <w:p w14:paraId="1163A4D7" w14:textId="4AAF8813"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16.17</w:t>
            </w:r>
          </w:p>
        </w:tc>
      </w:tr>
      <w:tr w:rsidR="00371459" w:rsidRPr="00E21717" w14:paraId="3717604D" w14:textId="77777777" w:rsidTr="00E21717">
        <w:trPr>
          <w:trHeight w:val="302"/>
        </w:trPr>
        <w:tc>
          <w:tcPr>
            <w:tcW w:w="3031" w:type="dxa"/>
            <w:tcBorders>
              <w:top w:val="nil"/>
              <w:left w:val="nil"/>
              <w:bottom w:val="nil"/>
              <w:right w:val="nil"/>
            </w:tcBorders>
            <w:shd w:val="clear" w:color="auto" w:fill="auto"/>
            <w:noWrap/>
            <w:vAlign w:val="center"/>
            <w:hideMark/>
          </w:tcPr>
          <w:p w14:paraId="3B01EDA5" w14:textId="718D80F5" w:rsidR="00371459" w:rsidRPr="00E21717" w:rsidRDefault="00371459" w:rsidP="00C04984">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Nordea</w:t>
            </w:r>
            <w:proofErr w:type="spellEnd"/>
            <w:r w:rsidRPr="00E21717">
              <w:rPr>
                <w:rFonts w:ascii="dcr10" w:eastAsia="Times New Roman" w:hAnsi="dcr10" w:cs="Times New Roman"/>
                <w:color w:val="000000"/>
                <w:sz w:val="18"/>
                <w:szCs w:val="18"/>
              </w:rPr>
              <w:t xml:space="preserve"> Bank </w:t>
            </w:r>
          </w:p>
        </w:tc>
        <w:tc>
          <w:tcPr>
            <w:tcW w:w="1879" w:type="dxa"/>
            <w:tcBorders>
              <w:top w:val="nil"/>
              <w:left w:val="nil"/>
              <w:bottom w:val="nil"/>
              <w:right w:val="nil"/>
            </w:tcBorders>
            <w:shd w:val="clear" w:color="auto" w:fill="auto"/>
            <w:noWrap/>
            <w:vAlign w:val="center"/>
            <w:hideMark/>
          </w:tcPr>
          <w:p w14:paraId="540696E7" w14:textId="0F923AED"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29.67</w:t>
            </w:r>
          </w:p>
        </w:tc>
        <w:tc>
          <w:tcPr>
            <w:tcW w:w="2041" w:type="dxa"/>
            <w:tcBorders>
              <w:top w:val="nil"/>
              <w:left w:val="nil"/>
              <w:bottom w:val="nil"/>
              <w:right w:val="nil"/>
            </w:tcBorders>
            <w:shd w:val="clear" w:color="auto" w:fill="auto"/>
            <w:noWrap/>
            <w:vAlign w:val="center"/>
            <w:hideMark/>
          </w:tcPr>
          <w:p w14:paraId="1BD7EC18" w14:textId="53D8D1EA"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29.25</w:t>
            </w:r>
          </w:p>
        </w:tc>
        <w:tc>
          <w:tcPr>
            <w:tcW w:w="1536" w:type="dxa"/>
            <w:tcBorders>
              <w:top w:val="nil"/>
              <w:left w:val="nil"/>
              <w:bottom w:val="nil"/>
              <w:right w:val="nil"/>
            </w:tcBorders>
            <w:shd w:val="clear" w:color="auto" w:fill="auto"/>
            <w:noWrap/>
            <w:vAlign w:val="center"/>
            <w:hideMark/>
          </w:tcPr>
          <w:p w14:paraId="458915D5" w14:textId="78B64EDB"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19.72</w:t>
            </w:r>
          </w:p>
        </w:tc>
      </w:tr>
      <w:tr w:rsidR="00371459" w:rsidRPr="00E21717" w14:paraId="6798113D" w14:textId="77777777" w:rsidTr="00E21717">
        <w:trPr>
          <w:trHeight w:val="302"/>
        </w:trPr>
        <w:tc>
          <w:tcPr>
            <w:tcW w:w="3031" w:type="dxa"/>
            <w:tcBorders>
              <w:top w:val="nil"/>
              <w:left w:val="nil"/>
              <w:bottom w:val="nil"/>
              <w:right w:val="nil"/>
            </w:tcBorders>
            <w:shd w:val="clear" w:color="auto" w:fill="auto"/>
            <w:noWrap/>
            <w:vAlign w:val="center"/>
            <w:hideMark/>
          </w:tcPr>
          <w:p w14:paraId="16D62E3C" w14:textId="6C5C2F6A" w:rsidR="00371459" w:rsidRPr="00E21717" w:rsidRDefault="00371459" w:rsidP="00C04984">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Bank of Nova Scotia</w:t>
            </w:r>
          </w:p>
        </w:tc>
        <w:tc>
          <w:tcPr>
            <w:tcW w:w="1879" w:type="dxa"/>
            <w:tcBorders>
              <w:top w:val="nil"/>
              <w:left w:val="nil"/>
              <w:bottom w:val="nil"/>
              <w:right w:val="nil"/>
            </w:tcBorders>
            <w:shd w:val="clear" w:color="auto" w:fill="auto"/>
            <w:noWrap/>
            <w:vAlign w:val="center"/>
            <w:hideMark/>
          </w:tcPr>
          <w:p w14:paraId="31B8797B" w14:textId="18446025"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16.60</w:t>
            </w:r>
          </w:p>
        </w:tc>
        <w:tc>
          <w:tcPr>
            <w:tcW w:w="2041" w:type="dxa"/>
            <w:tcBorders>
              <w:top w:val="nil"/>
              <w:left w:val="nil"/>
              <w:bottom w:val="nil"/>
              <w:right w:val="nil"/>
            </w:tcBorders>
            <w:shd w:val="clear" w:color="auto" w:fill="auto"/>
            <w:noWrap/>
            <w:vAlign w:val="center"/>
            <w:hideMark/>
          </w:tcPr>
          <w:p w14:paraId="0D193AAE" w14:textId="72A0460C"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17.15</w:t>
            </w:r>
          </w:p>
        </w:tc>
        <w:tc>
          <w:tcPr>
            <w:tcW w:w="1536" w:type="dxa"/>
            <w:tcBorders>
              <w:top w:val="nil"/>
              <w:left w:val="nil"/>
              <w:bottom w:val="nil"/>
              <w:right w:val="nil"/>
            </w:tcBorders>
            <w:shd w:val="clear" w:color="auto" w:fill="auto"/>
            <w:noWrap/>
            <w:vAlign w:val="center"/>
            <w:hideMark/>
          </w:tcPr>
          <w:p w14:paraId="1BECD445" w14:textId="55A5B702"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11.03</w:t>
            </w:r>
          </w:p>
        </w:tc>
      </w:tr>
      <w:tr w:rsidR="00371459" w:rsidRPr="00E21717" w14:paraId="4BAAF3D2" w14:textId="77777777" w:rsidTr="00E21717">
        <w:trPr>
          <w:trHeight w:val="302"/>
        </w:trPr>
        <w:tc>
          <w:tcPr>
            <w:tcW w:w="3031" w:type="dxa"/>
            <w:tcBorders>
              <w:top w:val="nil"/>
              <w:left w:val="nil"/>
              <w:bottom w:val="nil"/>
              <w:right w:val="nil"/>
            </w:tcBorders>
            <w:shd w:val="clear" w:color="auto" w:fill="auto"/>
            <w:noWrap/>
            <w:vAlign w:val="center"/>
            <w:hideMark/>
          </w:tcPr>
          <w:p w14:paraId="4FDA3783" w14:textId="343F4B2C" w:rsidR="00371459" w:rsidRPr="00E21717" w:rsidRDefault="00371459" w:rsidP="00C04984">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Royal Bank of Canada </w:t>
            </w:r>
          </w:p>
        </w:tc>
        <w:tc>
          <w:tcPr>
            <w:tcW w:w="1879" w:type="dxa"/>
            <w:tcBorders>
              <w:top w:val="nil"/>
              <w:left w:val="nil"/>
              <w:bottom w:val="nil"/>
              <w:right w:val="nil"/>
            </w:tcBorders>
            <w:shd w:val="clear" w:color="auto" w:fill="auto"/>
            <w:noWrap/>
            <w:vAlign w:val="center"/>
            <w:hideMark/>
          </w:tcPr>
          <w:p w14:paraId="01907B14" w14:textId="52AA3FF8"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17.32</w:t>
            </w:r>
          </w:p>
        </w:tc>
        <w:tc>
          <w:tcPr>
            <w:tcW w:w="2041" w:type="dxa"/>
            <w:tcBorders>
              <w:top w:val="nil"/>
              <w:left w:val="nil"/>
              <w:bottom w:val="nil"/>
              <w:right w:val="nil"/>
            </w:tcBorders>
            <w:shd w:val="clear" w:color="auto" w:fill="auto"/>
            <w:noWrap/>
            <w:vAlign w:val="center"/>
            <w:hideMark/>
          </w:tcPr>
          <w:p w14:paraId="1ECE639E" w14:textId="2EB43F0B"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18.20</w:t>
            </w:r>
          </w:p>
        </w:tc>
        <w:tc>
          <w:tcPr>
            <w:tcW w:w="1536" w:type="dxa"/>
            <w:tcBorders>
              <w:top w:val="nil"/>
              <w:left w:val="nil"/>
              <w:bottom w:val="nil"/>
              <w:right w:val="nil"/>
            </w:tcBorders>
            <w:shd w:val="clear" w:color="auto" w:fill="auto"/>
            <w:noWrap/>
            <w:vAlign w:val="center"/>
            <w:hideMark/>
          </w:tcPr>
          <w:p w14:paraId="6ED06476" w14:textId="01AE35E5"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11.58</w:t>
            </w:r>
          </w:p>
        </w:tc>
      </w:tr>
      <w:tr w:rsidR="00371459" w:rsidRPr="00E21717" w14:paraId="1F3420C4" w14:textId="77777777" w:rsidTr="00E21717">
        <w:trPr>
          <w:trHeight w:val="302"/>
        </w:trPr>
        <w:tc>
          <w:tcPr>
            <w:tcW w:w="3031" w:type="dxa"/>
            <w:tcBorders>
              <w:top w:val="nil"/>
              <w:left w:val="nil"/>
              <w:bottom w:val="nil"/>
              <w:right w:val="nil"/>
            </w:tcBorders>
            <w:shd w:val="clear" w:color="auto" w:fill="auto"/>
            <w:noWrap/>
            <w:vAlign w:val="center"/>
            <w:hideMark/>
          </w:tcPr>
          <w:p w14:paraId="7858A590" w14:textId="3B9C42F6" w:rsidR="00371459" w:rsidRPr="00E21717" w:rsidRDefault="00371459" w:rsidP="00C04984">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Royal Bank of Scotland </w:t>
            </w:r>
          </w:p>
        </w:tc>
        <w:tc>
          <w:tcPr>
            <w:tcW w:w="1879" w:type="dxa"/>
            <w:tcBorders>
              <w:top w:val="nil"/>
              <w:left w:val="nil"/>
              <w:bottom w:val="nil"/>
              <w:right w:val="nil"/>
            </w:tcBorders>
            <w:shd w:val="clear" w:color="auto" w:fill="auto"/>
            <w:noWrap/>
            <w:vAlign w:val="center"/>
            <w:hideMark/>
          </w:tcPr>
          <w:p w14:paraId="7BD48330" w14:textId="01557800"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25.89</w:t>
            </w:r>
          </w:p>
        </w:tc>
        <w:tc>
          <w:tcPr>
            <w:tcW w:w="2041" w:type="dxa"/>
            <w:tcBorders>
              <w:top w:val="nil"/>
              <w:left w:val="nil"/>
              <w:bottom w:val="nil"/>
              <w:right w:val="nil"/>
            </w:tcBorders>
            <w:shd w:val="clear" w:color="auto" w:fill="auto"/>
            <w:noWrap/>
            <w:vAlign w:val="center"/>
            <w:hideMark/>
          </w:tcPr>
          <w:p w14:paraId="22B9CEA3" w14:textId="55285F5A"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46.98</w:t>
            </w:r>
          </w:p>
        </w:tc>
        <w:tc>
          <w:tcPr>
            <w:tcW w:w="1536" w:type="dxa"/>
            <w:tcBorders>
              <w:top w:val="nil"/>
              <w:left w:val="nil"/>
              <w:bottom w:val="nil"/>
              <w:right w:val="nil"/>
            </w:tcBorders>
            <w:shd w:val="clear" w:color="auto" w:fill="auto"/>
            <w:noWrap/>
            <w:vAlign w:val="center"/>
            <w:hideMark/>
          </w:tcPr>
          <w:p w14:paraId="4D3902FA" w14:textId="721447C3"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31.97</w:t>
            </w:r>
          </w:p>
        </w:tc>
      </w:tr>
      <w:tr w:rsidR="00371459" w:rsidRPr="00E21717" w14:paraId="0E1308DD" w14:textId="77777777" w:rsidTr="00E21717">
        <w:trPr>
          <w:trHeight w:val="302"/>
        </w:trPr>
        <w:tc>
          <w:tcPr>
            <w:tcW w:w="3031" w:type="dxa"/>
            <w:tcBorders>
              <w:top w:val="nil"/>
              <w:left w:val="nil"/>
              <w:bottom w:val="nil"/>
              <w:right w:val="nil"/>
            </w:tcBorders>
            <w:shd w:val="clear" w:color="auto" w:fill="auto"/>
            <w:noWrap/>
            <w:vAlign w:val="center"/>
            <w:hideMark/>
          </w:tcPr>
          <w:p w14:paraId="2DD9C0EB" w14:textId="636FE1FD" w:rsidR="00371459" w:rsidRPr="00E21717" w:rsidRDefault="00371459" w:rsidP="00C04984">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Banco</w:t>
            </w:r>
            <w:proofErr w:type="spellEnd"/>
            <w:r w:rsidRPr="00E21717">
              <w:rPr>
                <w:rFonts w:ascii="dcr10" w:eastAsia="Times New Roman" w:hAnsi="dcr10" w:cs="Times New Roman"/>
                <w:color w:val="000000"/>
                <w:sz w:val="18"/>
                <w:szCs w:val="18"/>
              </w:rPr>
              <w:t xml:space="preserve"> Santander</w:t>
            </w:r>
          </w:p>
        </w:tc>
        <w:tc>
          <w:tcPr>
            <w:tcW w:w="1879" w:type="dxa"/>
            <w:tcBorders>
              <w:top w:val="nil"/>
              <w:left w:val="nil"/>
              <w:bottom w:val="nil"/>
              <w:right w:val="nil"/>
            </w:tcBorders>
            <w:shd w:val="clear" w:color="auto" w:fill="auto"/>
            <w:noWrap/>
            <w:vAlign w:val="center"/>
            <w:hideMark/>
          </w:tcPr>
          <w:p w14:paraId="15CAB650" w14:textId="00434A83"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27.84</w:t>
            </w:r>
          </w:p>
        </w:tc>
        <w:tc>
          <w:tcPr>
            <w:tcW w:w="2041" w:type="dxa"/>
            <w:tcBorders>
              <w:top w:val="nil"/>
              <w:left w:val="nil"/>
              <w:bottom w:val="nil"/>
              <w:right w:val="nil"/>
            </w:tcBorders>
            <w:shd w:val="clear" w:color="auto" w:fill="auto"/>
            <w:noWrap/>
            <w:vAlign w:val="center"/>
            <w:hideMark/>
          </w:tcPr>
          <w:p w14:paraId="1CC0E4B8" w14:textId="6BBEA6BC"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35.70</w:t>
            </w:r>
          </w:p>
        </w:tc>
        <w:tc>
          <w:tcPr>
            <w:tcW w:w="1536" w:type="dxa"/>
            <w:tcBorders>
              <w:top w:val="nil"/>
              <w:left w:val="nil"/>
              <w:bottom w:val="nil"/>
              <w:right w:val="nil"/>
            </w:tcBorders>
            <w:shd w:val="clear" w:color="auto" w:fill="auto"/>
            <w:noWrap/>
            <w:vAlign w:val="center"/>
            <w:hideMark/>
          </w:tcPr>
          <w:p w14:paraId="2F132F87" w14:textId="41FB22B1"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22.71</w:t>
            </w:r>
          </w:p>
        </w:tc>
      </w:tr>
      <w:tr w:rsidR="00371459" w:rsidRPr="00E21717" w14:paraId="5E9DA5F7" w14:textId="77777777" w:rsidTr="00E21717">
        <w:trPr>
          <w:trHeight w:val="302"/>
        </w:trPr>
        <w:tc>
          <w:tcPr>
            <w:tcW w:w="3031" w:type="dxa"/>
            <w:tcBorders>
              <w:top w:val="nil"/>
              <w:left w:val="nil"/>
              <w:bottom w:val="nil"/>
              <w:right w:val="nil"/>
            </w:tcBorders>
            <w:shd w:val="clear" w:color="auto" w:fill="auto"/>
            <w:noWrap/>
            <w:vAlign w:val="center"/>
            <w:hideMark/>
          </w:tcPr>
          <w:p w14:paraId="0B47D051" w14:textId="23F68918" w:rsidR="00371459" w:rsidRPr="00E21717" w:rsidRDefault="00371459" w:rsidP="00C04984">
            <w:pPr>
              <w:rPr>
                <w:rFonts w:ascii="dcr10" w:eastAsia="Times New Roman" w:hAnsi="dcr10" w:cs="Times New Roman"/>
                <w:color w:val="000000"/>
                <w:sz w:val="17"/>
                <w:szCs w:val="17"/>
              </w:rPr>
            </w:pPr>
            <w:proofErr w:type="spellStart"/>
            <w:r w:rsidRPr="00E21717">
              <w:rPr>
                <w:rFonts w:ascii="dcr10" w:eastAsia="Times New Roman" w:hAnsi="dcr10" w:cs="Times New Roman"/>
                <w:bCs/>
                <w:color w:val="000000"/>
                <w:sz w:val="18"/>
                <w:szCs w:val="18"/>
              </w:rPr>
              <w:t>Societe</w:t>
            </w:r>
            <w:proofErr w:type="spellEnd"/>
            <w:r w:rsidRPr="00E21717">
              <w:rPr>
                <w:rFonts w:ascii="dcr10" w:eastAsia="Times New Roman" w:hAnsi="dcr10" w:cs="Times New Roman"/>
                <w:bCs/>
                <w:color w:val="000000"/>
                <w:sz w:val="18"/>
                <w:szCs w:val="18"/>
              </w:rPr>
              <w:t xml:space="preserve"> </w:t>
            </w:r>
            <w:proofErr w:type="spellStart"/>
            <w:r w:rsidRPr="00E21717">
              <w:rPr>
                <w:rFonts w:ascii="dcr10" w:eastAsia="Times New Roman" w:hAnsi="dcr10" w:cs="Times New Roman"/>
                <w:bCs/>
                <w:color w:val="000000"/>
                <w:sz w:val="18"/>
                <w:szCs w:val="18"/>
              </w:rPr>
              <w:t>Generale</w:t>
            </w:r>
            <w:proofErr w:type="spellEnd"/>
            <w:r w:rsidRPr="00E21717">
              <w:rPr>
                <w:rFonts w:ascii="dcr10" w:eastAsia="Times New Roman" w:hAnsi="dcr10" w:cs="Times New Roman"/>
                <w:bCs/>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5D0F7895" w14:textId="5C5BE7E8"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29.79</w:t>
            </w:r>
          </w:p>
        </w:tc>
        <w:tc>
          <w:tcPr>
            <w:tcW w:w="2041" w:type="dxa"/>
            <w:tcBorders>
              <w:top w:val="nil"/>
              <w:left w:val="nil"/>
              <w:bottom w:val="nil"/>
              <w:right w:val="nil"/>
            </w:tcBorders>
            <w:shd w:val="clear" w:color="auto" w:fill="auto"/>
            <w:noWrap/>
            <w:vAlign w:val="center"/>
            <w:hideMark/>
          </w:tcPr>
          <w:p w14:paraId="3591DF12" w14:textId="48E9B186"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48.38</w:t>
            </w:r>
          </w:p>
        </w:tc>
        <w:tc>
          <w:tcPr>
            <w:tcW w:w="1536" w:type="dxa"/>
            <w:tcBorders>
              <w:top w:val="nil"/>
              <w:left w:val="nil"/>
              <w:bottom w:val="nil"/>
              <w:right w:val="nil"/>
            </w:tcBorders>
            <w:shd w:val="clear" w:color="auto" w:fill="auto"/>
            <w:noWrap/>
            <w:vAlign w:val="center"/>
            <w:hideMark/>
          </w:tcPr>
          <w:p w14:paraId="38278171" w14:textId="62E53FE6"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29.80</w:t>
            </w:r>
          </w:p>
        </w:tc>
      </w:tr>
      <w:tr w:rsidR="00371459" w:rsidRPr="00E21717" w14:paraId="28803BFE" w14:textId="77777777" w:rsidTr="00E21717">
        <w:trPr>
          <w:trHeight w:val="302"/>
        </w:trPr>
        <w:tc>
          <w:tcPr>
            <w:tcW w:w="3031" w:type="dxa"/>
            <w:tcBorders>
              <w:top w:val="nil"/>
              <w:left w:val="nil"/>
              <w:bottom w:val="nil"/>
              <w:right w:val="nil"/>
            </w:tcBorders>
            <w:shd w:val="clear" w:color="auto" w:fill="auto"/>
            <w:noWrap/>
            <w:vAlign w:val="center"/>
            <w:hideMark/>
          </w:tcPr>
          <w:p w14:paraId="60F4CD5E" w14:textId="5C7DFD20" w:rsidR="00371459" w:rsidRPr="00E21717" w:rsidRDefault="00371459" w:rsidP="00C04984">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Standered</w:t>
            </w:r>
            <w:proofErr w:type="spellEnd"/>
            <w:r w:rsidRPr="00E21717">
              <w:rPr>
                <w:rFonts w:ascii="dcr10" w:eastAsia="Times New Roman" w:hAnsi="dcr10" w:cs="Times New Roman"/>
                <w:color w:val="000000"/>
                <w:sz w:val="18"/>
                <w:szCs w:val="18"/>
              </w:rPr>
              <w:t xml:space="preserve"> Chartered </w:t>
            </w:r>
          </w:p>
        </w:tc>
        <w:tc>
          <w:tcPr>
            <w:tcW w:w="1879" w:type="dxa"/>
            <w:tcBorders>
              <w:top w:val="nil"/>
              <w:left w:val="nil"/>
              <w:bottom w:val="nil"/>
              <w:right w:val="nil"/>
            </w:tcBorders>
            <w:shd w:val="clear" w:color="auto" w:fill="auto"/>
            <w:noWrap/>
            <w:vAlign w:val="center"/>
            <w:hideMark/>
          </w:tcPr>
          <w:p w14:paraId="2A778AC8" w14:textId="453188AA"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27.17</w:t>
            </w:r>
          </w:p>
        </w:tc>
        <w:tc>
          <w:tcPr>
            <w:tcW w:w="2041" w:type="dxa"/>
            <w:tcBorders>
              <w:top w:val="nil"/>
              <w:left w:val="nil"/>
              <w:bottom w:val="nil"/>
              <w:right w:val="nil"/>
            </w:tcBorders>
            <w:shd w:val="clear" w:color="auto" w:fill="auto"/>
            <w:noWrap/>
            <w:vAlign w:val="center"/>
            <w:hideMark/>
          </w:tcPr>
          <w:p w14:paraId="4713E942" w14:textId="322C311D"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31.01</w:t>
            </w:r>
          </w:p>
        </w:tc>
        <w:tc>
          <w:tcPr>
            <w:tcW w:w="1536" w:type="dxa"/>
            <w:tcBorders>
              <w:top w:val="nil"/>
              <w:left w:val="nil"/>
              <w:bottom w:val="nil"/>
              <w:right w:val="nil"/>
            </w:tcBorders>
            <w:shd w:val="clear" w:color="auto" w:fill="auto"/>
            <w:noWrap/>
            <w:vAlign w:val="center"/>
            <w:hideMark/>
          </w:tcPr>
          <w:p w14:paraId="61E85135" w14:textId="6912EA02"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22.17</w:t>
            </w:r>
          </w:p>
        </w:tc>
      </w:tr>
      <w:tr w:rsidR="00371459" w:rsidRPr="00E21717" w14:paraId="72571A5B" w14:textId="77777777" w:rsidTr="00E21717">
        <w:trPr>
          <w:trHeight w:val="302"/>
        </w:trPr>
        <w:tc>
          <w:tcPr>
            <w:tcW w:w="3031" w:type="dxa"/>
            <w:tcBorders>
              <w:top w:val="nil"/>
              <w:left w:val="nil"/>
              <w:bottom w:val="nil"/>
              <w:right w:val="nil"/>
            </w:tcBorders>
            <w:shd w:val="clear" w:color="auto" w:fill="auto"/>
            <w:noWrap/>
            <w:vAlign w:val="center"/>
            <w:hideMark/>
          </w:tcPr>
          <w:p w14:paraId="5A8A3BAA" w14:textId="480C58D2" w:rsidR="00371459" w:rsidRPr="00E21717" w:rsidRDefault="00371459" w:rsidP="00C04984">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Sumitomo Mitsui Financial </w:t>
            </w:r>
          </w:p>
        </w:tc>
        <w:tc>
          <w:tcPr>
            <w:tcW w:w="1879" w:type="dxa"/>
            <w:tcBorders>
              <w:top w:val="nil"/>
              <w:left w:val="nil"/>
              <w:bottom w:val="nil"/>
              <w:right w:val="nil"/>
            </w:tcBorders>
            <w:shd w:val="clear" w:color="auto" w:fill="auto"/>
            <w:noWrap/>
            <w:vAlign w:val="center"/>
            <w:hideMark/>
          </w:tcPr>
          <w:p w14:paraId="041FD209" w14:textId="0593CF6C"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35.73</w:t>
            </w:r>
          </w:p>
        </w:tc>
        <w:tc>
          <w:tcPr>
            <w:tcW w:w="2041" w:type="dxa"/>
            <w:tcBorders>
              <w:top w:val="nil"/>
              <w:left w:val="nil"/>
              <w:bottom w:val="nil"/>
              <w:right w:val="nil"/>
            </w:tcBorders>
            <w:shd w:val="clear" w:color="auto" w:fill="auto"/>
            <w:noWrap/>
            <w:vAlign w:val="center"/>
            <w:hideMark/>
          </w:tcPr>
          <w:p w14:paraId="53C95E9D" w14:textId="12A5AC0A"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31.39</w:t>
            </w:r>
          </w:p>
        </w:tc>
        <w:tc>
          <w:tcPr>
            <w:tcW w:w="1536" w:type="dxa"/>
            <w:tcBorders>
              <w:top w:val="nil"/>
              <w:left w:val="nil"/>
              <w:bottom w:val="nil"/>
              <w:right w:val="nil"/>
            </w:tcBorders>
            <w:shd w:val="clear" w:color="auto" w:fill="auto"/>
            <w:noWrap/>
            <w:vAlign w:val="center"/>
            <w:hideMark/>
          </w:tcPr>
          <w:p w14:paraId="6F3F817A" w14:textId="6F87F014"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28.83</w:t>
            </w:r>
          </w:p>
        </w:tc>
      </w:tr>
      <w:tr w:rsidR="00371459" w:rsidRPr="00E21717" w14:paraId="2BB527F1" w14:textId="77777777" w:rsidTr="00E21717">
        <w:trPr>
          <w:trHeight w:val="302"/>
        </w:trPr>
        <w:tc>
          <w:tcPr>
            <w:tcW w:w="3031" w:type="dxa"/>
            <w:tcBorders>
              <w:top w:val="nil"/>
              <w:left w:val="nil"/>
              <w:bottom w:val="nil"/>
              <w:right w:val="nil"/>
            </w:tcBorders>
            <w:shd w:val="clear" w:color="auto" w:fill="auto"/>
            <w:noWrap/>
            <w:vAlign w:val="center"/>
            <w:hideMark/>
          </w:tcPr>
          <w:p w14:paraId="129B0AC6" w14:textId="1F8E6393" w:rsidR="00371459" w:rsidRPr="00E21717" w:rsidRDefault="00371459" w:rsidP="00C04984">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Toronto-</w:t>
            </w:r>
            <w:proofErr w:type="spellStart"/>
            <w:r w:rsidRPr="00E21717">
              <w:rPr>
                <w:rFonts w:ascii="dcr10" w:eastAsia="Times New Roman" w:hAnsi="dcr10" w:cs="Times New Roman"/>
                <w:color w:val="000000"/>
                <w:sz w:val="18"/>
                <w:szCs w:val="18"/>
              </w:rPr>
              <w:t>Dominon</w:t>
            </w:r>
            <w:proofErr w:type="spellEnd"/>
            <w:r w:rsidRPr="00E21717">
              <w:rPr>
                <w:rFonts w:ascii="dcr10" w:eastAsia="Times New Roman" w:hAnsi="dcr10" w:cs="Times New Roman"/>
                <w:color w:val="000000"/>
                <w:sz w:val="18"/>
                <w:szCs w:val="18"/>
              </w:rPr>
              <w:t xml:space="preserve"> Group </w:t>
            </w:r>
          </w:p>
        </w:tc>
        <w:tc>
          <w:tcPr>
            <w:tcW w:w="1879" w:type="dxa"/>
            <w:tcBorders>
              <w:top w:val="nil"/>
              <w:left w:val="nil"/>
              <w:bottom w:val="nil"/>
              <w:right w:val="nil"/>
            </w:tcBorders>
            <w:shd w:val="clear" w:color="auto" w:fill="auto"/>
            <w:noWrap/>
            <w:vAlign w:val="center"/>
            <w:hideMark/>
          </w:tcPr>
          <w:p w14:paraId="60F90F31" w14:textId="2FD09BC4"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18.55</w:t>
            </w:r>
          </w:p>
        </w:tc>
        <w:tc>
          <w:tcPr>
            <w:tcW w:w="2041" w:type="dxa"/>
            <w:tcBorders>
              <w:top w:val="nil"/>
              <w:left w:val="nil"/>
              <w:bottom w:val="nil"/>
              <w:right w:val="nil"/>
            </w:tcBorders>
            <w:shd w:val="clear" w:color="auto" w:fill="auto"/>
            <w:noWrap/>
            <w:vAlign w:val="center"/>
            <w:hideMark/>
          </w:tcPr>
          <w:p w14:paraId="4DC8ACA8" w14:textId="55511A85"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16.47</w:t>
            </w:r>
          </w:p>
        </w:tc>
        <w:tc>
          <w:tcPr>
            <w:tcW w:w="1536" w:type="dxa"/>
            <w:tcBorders>
              <w:top w:val="nil"/>
              <w:left w:val="nil"/>
              <w:bottom w:val="nil"/>
              <w:right w:val="nil"/>
            </w:tcBorders>
            <w:shd w:val="clear" w:color="auto" w:fill="auto"/>
            <w:noWrap/>
            <w:vAlign w:val="center"/>
            <w:hideMark/>
          </w:tcPr>
          <w:p w14:paraId="26948B6A" w14:textId="4A80A546"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10.38</w:t>
            </w:r>
          </w:p>
        </w:tc>
      </w:tr>
      <w:tr w:rsidR="00371459" w:rsidRPr="00E21717" w14:paraId="1BC191A2" w14:textId="77777777" w:rsidTr="00E21717">
        <w:trPr>
          <w:trHeight w:val="302"/>
        </w:trPr>
        <w:tc>
          <w:tcPr>
            <w:tcW w:w="3031" w:type="dxa"/>
            <w:tcBorders>
              <w:top w:val="nil"/>
              <w:left w:val="nil"/>
              <w:bottom w:val="nil"/>
              <w:right w:val="nil"/>
            </w:tcBorders>
            <w:shd w:val="clear" w:color="auto" w:fill="auto"/>
            <w:noWrap/>
            <w:vAlign w:val="center"/>
            <w:hideMark/>
          </w:tcPr>
          <w:p w14:paraId="5FCA187F" w14:textId="5452633F" w:rsidR="00371459" w:rsidRPr="00E21717" w:rsidRDefault="00371459" w:rsidP="00C04984">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UBS Group AG </w:t>
            </w:r>
          </w:p>
        </w:tc>
        <w:tc>
          <w:tcPr>
            <w:tcW w:w="1879" w:type="dxa"/>
            <w:tcBorders>
              <w:top w:val="nil"/>
              <w:left w:val="nil"/>
              <w:bottom w:val="nil"/>
              <w:right w:val="nil"/>
            </w:tcBorders>
            <w:shd w:val="clear" w:color="auto" w:fill="auto"/>
            <w:noWrap/>
            <w:vAlign w:val="center"/>
            <w:hideMark/>
          </w:tcPr>
          <w:p w14:paraId="671AB912" w14:textId="6CF7A37D"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25.42</w:t>
            </w:r>
          </w:p>
        </w:tc>
        <w:tc>
          <w:tcPr>
            <w:tcW w:w="2041" w:type="dxa"/>
            <w:tcBorders>
              <w:top w:val="nil"/>
              <w:left w:val="nil"/>
              <w:bottom w:val="nil"/>
              <w:right w:val="nil"/>
            </w:tcBorders>
            <w:shd w:val="clear" w:color="auto" w:fill="auto"/>
            <w:noWrap/>
            <w:vAlign w:val="center"/>
            <w:hideMark/>
          </w:tcPr>
          <w:p w14:paraId="073AC7D3" w14:textId="1937036D"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33.32</w:t>
            </w:r>
          </w:p>
        </w:tc>
        <w:tc>
          <w:tcPr>
            <w:tcW w:w="1536" w:type="dxa"/>
            <w:tcBorders>
              <w:top w:val="nil"/>
              <w:left w:val="nil"/>
              <w:bottom w:val="nil"/>
              <w:right w:val="nil"/>
            </w:tcBorders>
            <w:shd w:val="clear" w:color="auto" w:fill="auto"/>
            <w:noWrap/>
            <w:vAlign w:val="center"/>
            <w:hideMark/>
          </w:tcPr>
          <w:p w14:paraId="7510ACC9" w14:textId="7D1D72EF"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23.32</w:t>
            </w:r>
          </w:p>
        </w:tc>
      </w:tr>
      <w:tr w:rsidR="00371459" w:rsidRPr="00E21717" w14:paraId="6760BBE6" w14:textId="77777777" w:rsidTr="00E21717">
        <w:trPr>
          <w:trHeight w:val="302"/>
        </w:trPr>
        <w:tc>
          <w:tcPr>
            <w:tcW w:w="3031" w:type="dxa"/>
            <w:tcBorders>
              <w:top w:val="nil"/>
              <w:left w:val="nil"/>
              <w:bottom w:val="nil"/>
              <w:right w:val="nil"/>
            </w:tcBorders>
            <w:shd w:val="clear" w:color="auto" w:fill="auto"/>
            <w:noWrap/>
            <w:vAlign w:val="center"/>
            <w:hideMark/>
          </w:tcPr>
          <w:p w14:paraId="6BFCBC01" w14:textId="0810201F" w:rsidR="00371459" w:rsidRPr="00E21717" w:rsidRDefault="00371459" w:rsidP="00C04984">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UniCredit</w:t>
            </w:r>
            <w:proofErr w:type="spellEnd"/>
            <w:r w:rsidRPr="00E21717">
              <w:rPr>
                <w:rFonts w:ascii="dcr10" w:eastAsia="Times New Roman" w:hAnsi="dcr10" w:cs="Times New Roman"/>
                <w:color w:val="000000"/>
                <w:sz w:val="18"/>
                <w:szCs w:val="18"/>
              </w:rPr>
              <w:t xml:space="preserve"> </w:t>
            </w:r>
            <w:proofErr w:type="spellStart"/>
            <w:r w:rsidRPr="00E21717">
              <w:rPr>
                <w:rFonts w:ascii="dcr10" w:eastAsia="Times New Roman" w:hAnsi="dcr10" w:cs="Times New Roman"/>
                <w:color w:val="000000"/>
                <w:sz w:val="18"/>
                <w:szCs w:val="18"/>
              </w:rPr>
              <w:t>S.p.A</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59C56F7E" w14:textId="28BD9399"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23.79</w:t>
            </w:r>
          </w:p>
        </w:tc>
        <w:tc>
          <w:tcPr>
            <w:tcW w:w="2041" w:type="dxa"/>
            <w:tcBorders>
              <w:top w:val="nil"/>
              <w:left w:val="nil"/>
              <w:bottom w:val="nil"/>
              <w:right w:val="nil"/>
            </w:tcBorders>
            <w:shd w:val="clear" w:color="auto" w:fill="auto"/>
            <w:noWrap/>
            <w:vAlign w:val="center"/>
            <w:hideMark/>
          </w:tcPr>
          <w:p w14:paraId="06531BCE" w14:textId="6CC72EA3"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49.78</w:t>
            </w:r>
          </w:p>
        </w:tc>
        <w:tc>
          <w:tcPr>
            <w:tcW w:w="1536" w:type="dxa"/>
            <w:tcBorders>
              <w:top w:val="nil"/>
              <w:left w:val="nil"/>
              <w:bottom w:val="nil"/>
              <w:right w:val="nil"/>
            </w:tcBorders>
            <w:shd w:val="clear" w:color="auto" w:fill="auto"/>
            <w:noWrap/>
            <w:vAlign w:val="center"/>
            <w:hideMark/>
          </w:tcPr>
          <w:p w14:paraId="3D5E57F2" w14:textId="41073980"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34.30</w:t>
            </w:r>
          </w:p>
        </w:tc>
      </w:tr>
      <w:tr w:rsidR="00371459" w:rsidRPr="00E21717" w14:paraId="0E89B5C1" w14:textId="77777777" w:rsidTr="00E21717">
        <w:trPr>
          <w:trHeight w:val="302"/>
        </w:trPr>
        <w:tc>
          <w:tcPr>
            <w:tcW w:w="3031" w:type="dxa"/>
            <w:tcBorders>
              <w:top w:val="nil"/>
              <w:left w:val="nil"/>
              <w:bottom w:val="nil"/>
              <w:right w:val="nil"/>
            </w:tcBorders>
            <w:shd w:val="clear" w:color="auto" w:fill="auto"/>
            <w:noWrap/>
            <w:vAlign w:val="center"/>
            <w:hideMark/>
          </w:tcPr>
          <w:p w14:paraId="0515505B" w14:textId="09F0F365" w:rsidR="00371459" w:rsidRPr="00E21717" w:rsidRDefault="00371459" w:rsidP="00C04984">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Westpac Banking </w:t>
            </w:r>
          </w:p>
        </w:tc>
        <w:tc>
          <w:tcPr>
            <w:tcW w:w="1879" w:type="dxa"/>
            <w:tcBorders>
              <w:top w:val="nil"/>
              <w:left w:val="nil"/>
              <w:bottom w:val="nil"/>
              <w:right w:val="nil"/>
            </w:tcBorders>
            <w:shd w:val="clear" w:color="auto" w:fill="auto"/>
            <w:noWrap/>
            <w:vAlign w:val="center"/>
            <w:hideMark/>
          </w:tcPr>
          <w:p w14:paraId="1DB878D2" w14:textId="610F3011"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17.07</w:t>
            </w:r>
          </w:p>
        </w:tc>
        <w:tc>
          <w:tcPr>
            <w:tcW w:w="2041" w:type="dxa"/>
            <w:tcBorders>
              <w:top w:val="nil"/>
              <w:left w:val="nil"/>
              <w:bottom w:val="nil"/>
              <w:right w:val="nil"/>
            </w:tcBorders>
            <w:shd w:val="clear" w:color="auto" w:fill="auto"/>
            <w:noWrap/>
            <w:vAlign w:val="center"/>
            <w:hideMark/>
          </w:tcPr>
          <w:p w14:paraId="48FFC7E3" w14:textId="4C061F96"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22.15</w:t>
            </w:r>
          </w:p>
        </w:tc>
        <w:tc>
          <w:tcPr>
            <w:tcW w:w="1536" w:type="dxa"/>
            <w:tcBorders>
              <w:top w:val="nil"/>
              <w:left w:val="nil"/>
              <w:bottom w:val="nil"/>
              <w:right w:val="nil"/>
            </w:tcBorders>
            <w:shd w:val="clear" w:color="auto" w:fill="auto"/>
            <w:noWrap/>
            <w:vAlign w:val="center"/>
            <w:hideMark/>
          </w:tcPr>
          <w:p w14:paraId="17A420C4" w14:textId="22CCF759" w:rsidR="00371459" w:rsidRPr="00371459" w:rsidRDefault="00371459" w:rsidP="00C04984">
            <w:pPr>
              <w:jc w:val="center"/>
              <w:rPr>
                <w:rFonts w:ascii="dcr10" w:eastAsia="Times New Roman" w:hAnsi="dcr10" w:cs="Times New Roman"/>
                <w:color w:val="000000"/>
                <w:sz w:val="18"/>
                <w:szCs w:val="18"/>
              </w:rPr>
            </w:pPr>
            <w:r w:rsidRPr="00371459">
              <w:rPr>
                <w:rFonts w:ascii="dcr10" w:eastAsia="Times New Roman" w:hAnsi="dcr10" w:cs="Times New Roman"/>
                <w:color w:val="000000"/>
                <w:sz w:val="18"/>
                <w:szCs w:val="18"/>
              </w:rPr>
              <w:t>16.73</w:t>
            </w:r>
          </w:p>
        </w:tc>
      </w:tr>
      <w:tr w:rsidR="00371459" w:rsidRPr="00E21717" w14:paraId="2AB2DF42" w14:textId="77777777" w:rsidTr="00E21717">
        <w:trPr>
          <w:trHeight w:val="302"/>
        </w:trPr>
        <w:tc>
          <w:tcPr>
            <w:tcW w:w="3031" w:type="dxa"/>
            <w:tcBorders>
              <w:top w:val="nil"/>
              <w:left w:val="nil"/>
              <w:bottom w:val="nil"/>
              <w:right w:val="nil"/>
            </w:tcBorders>
            <w:shd w:val="clear" w:color="auto" w:fill="auto"/>
            <w:noWrap/>
            <w:vAlign w:val="center"/>
            <w:hideMark/>
          </w:tcPr>
          <w:p w14:paraId="540E6994" w14:textId="32B52698" w:rsidR="00371459" w:rsidRPr="00371459" w:rsidRDefault="00371459" w:rsidP="00C04984">
            <w:pPr>
              <w:rPr>
                <w:rFonts w:ascii="dcr10" w:eastAsia="Times New Roman" w:hAnsi="dcr10" w:cs="Times New Roman"/>
                <w:i/>
                <w:color w:val="000000"/>
                <w:sz w:val="17"/>
                <w:szCs w:val="17"/>
              </w:rPr>
            </w:pPr>
            <w:r w:rsidRPr="00371459">
              <w:rPr>
                <w:rFonts w:ascii="dcr10" w:eastAsia="Times New Roman" w:hAnsi="dcr10" w:cs="Times New Roman"/>
                <w:i/>
                <w:color w:val="000000"/>
                <w:sz w:val="18"/>
                <w:szCs w:val="18"/>
              </w:rPr>
              <w:t>Mean</w:t>
            </w:r>
          </w:p>
        </w:tc>
        <w:tc>
          <w:tcPr>
            <w:tcW w:w="1879" w:type="dxa"/>
            <w:tcBorders>
              <w:top w:val="nil"/>
              <w:left w:val="nil"/>
              <w:bottom w:val="nil"/>
              <w:right w:val="nil"/>
            </w:tcBorders>
            <w:shd w:val="clear" w:color="auto" w:fill="auto"/>
            <w:noWrap/>
            <w:vAlign w:val="center"/>
            <w:hideMark/>
          </w:tcPr>
          <w:p w14:paraId="47F54302" w14:textId="76D80A15" w:rsidR="00371459" w:rsidRPr="00371459" w:rsidRDefault="00371459" w:rsidP="00C04984">
            <w:pPr>
              <w:jc w:val="center"/>
              <w:rPr>
                <w:rFonts w:ascii="dcr10" w:eastAsia="Times New Roman" w:hAnsi="dcr10" w:cs="Times New Roman"/>
                <w:i/>
                <w:color w:val="000000"/>
                <w:sz w:val="18"/>
                <w:szCs w:val="18"/>
              </w:rPr>
            </w:pPr>
            <w:r w:rsidRPr="00371459">
              <w:rPr>
                <w:rFonts w:ascii="dcr10" w:eastAsia="Times New Roman" w:hAnsi="dcr10" w:cs="Times New Roman"/>
                <w:i/>
                <w:color w:val="000000"/>
                <w:sz w:val="18"/>
                <w:szCs w:val="18"/>
              </w:rPr>
              <w:t>26.79</w:t>
            </w:r>
          </w:p>
        </w:tc>
        <w:tc>
          <w:tcPr>
            <w:tcW w:w="2041" w:type="dxa"/>
            <w:tcBorders>
              <w:top w:val="nil"/>
              <w:left w:val="nil"/>
              <w:bottom w:val="nil"/>
              <w:right w:val="nil"/>
            </w:tcBorders>
            <w:shd w:val="clear" w:color="auto" w:fill="auto"/>
            <w:noWrap/>
            <w:vAlign w:val="center"/>
            <w:hideMark/>
          </w:tcPr>
          <w:p w14:paraId="27188150" w14:textId="0AC818AF" w:rsidR="00371459" w:rsidRPr="00371459" w:rsidRDefault="00371459" w:rsidP="00C04984">
            <w:pPr>
              <w:jc w:val="center"/>
              <w:rPr>
                <w:rFonts w:ascii="dcr10" w:eastAsia="Times New Roman" w:hAnsi="dcr10" w:cs="Times New Roman"/>
                <w:i/>
                <w:color w:val="000000"/>
                <w:sz w:val="18"/>
                <w:szCs w:val="18"/>
              </w:rPr>
            </w:pPr>
            <w:r w:rsidRPr="00371459">
              <w:rPr>
                <w:rFonts w:ascii="dcr10" w:eastAsia="Times New Roman" w:hAnsi="dcr10" w:cs="Times New Roman"/>
                <w:i/>
                <w:color w:val="000000"/>
                <w:sz w:val="18"/>
                <w:szCs w:val="18"/>
              </w:rPr>
              <w:t>34.11</w:t>
            </w:r>
          </w:p>
        </w:tc>
        <w:tc>
          <w:tcPr>
            <w:tcW w:w="1536" w:type="dxa"/>
            <w:tcBorders>
              <w:top w:val="nil"/>
              <w:left w:val="nil"/>
              <w:bottom w:val="nil"/>
              <w:right w:val="nil"/>
            </w:tcBorders>
            <w:shd w:val="clear" w:color="auto" w:fill="auto"/>
            <w:noWrap/>
            <w:vAlign w:val="center"/>
            <w:hideMark/>
          </w:tcPr>
          <w:p w14:paraId="7225AEE1" w14:textId="40AA3A94" w:rsidR="00371459" w:rsidRPr="00371459" w:rsidRDefault="00371459" w:rsidP="00C04984">
            <w:pPr>
              <w:jc w:val="center"/>
              <w:rPr>
                <w:rFonts w:ascii="dcr10" w:eastAsia="Times New Roman" w:hAnsi="dcr10" w:cs="Times New Roman"/>
                <w:i/>
                <w:color w:val="000000"/>
                <w:sz w:val="18"/>
                <w:szCs w:val="18"/>
              </w:rPr>
            </w:pPr>
            <w:r w:rsidRPr="00371459">
              <w:rPr>
                <w:rFonts w:ascii="dcr10" w:eastAsia="Times New Roman" w:hAnsi="dcr10" w:cs="Times New Roman"/>
                <w:i/>
                <w:color w:val="000000"/>
                <w:sz w:val="18"/>
                <w:szCs w:val="18"/>
              </w:rPr>
              <w:t>23.77</w:t>
            </w:r>
          </w:p>
        </w:tc>
      </w:tr>
      <w:tr w:rsidR="00371459" w:rsidRPr="00E21717" w14:paraId="4EE2D6D3" w14:textId="77777777" w:rsidTr="00E21717">
        <w:trPr>
          <w:trHeight w:val="302"/>
        </w:trPr>
        <w:tc>
          <w:tcPr>
            <w:tcW w:w="3031" w:type="dxa"/>
            <w:tcBorders>
              <w:top w:val="nil"/>
              <w:left w:val="nil"/>
              <w:bottom w:val="nil"/>
              <w:right w:val="nil"/>
            </w:tcBorders>
            <w:shd w:val="clear" w:color="auto" w:fill="auto"/>
            <w:noWrap/>
            <w:vAlign w:val="center"/>
            <w:hideMark/>
          </w:tcPr>
          <w:p w14:paraId="2B2BA1A6" w14:textId="05D02486" w:rsidR="00371459" w:rsidRPr="00371459" w:rsidRDefault="00371459" w:rsidP="00C04984">
            <w:pPr>
              <w:rPr>
                <w:rFonts w:ascii="dcr10" w:eastAsia="Times New Roman" w:hAnsi="dcr10" w:cs="Times New Roman"/>
                <w:i/>
                <w:color w:val="000000"/>
                <w:sz w:val="17"/>
                <w:szCs w:val="17"/>
              </w:rPr>
            </w:pPr>
            <w:r w:rsidRPr="00371459">
              <w:rPr>
                <w:rFonts w:ascii="dcr10" w:eastAsia="Times New Roman" w:hAnsi="dcr10" w:cs="Times New Roman"/>
                <w:bCs/>
                <w:i/>
                <w:color w:val="000000"/>
                <w:sz w:val="18"/>
                <w:szCs w:val="18"/>
              </w:rPr>
              <w:t>Median</w:t>
            </w:r>
          </w:p>
        </w:tc>
        <w:tc>
          <w:tcPr>
            <w:tcW w:w="1879" w:type="dxa"/>
            <w:tcBorders>
              <w:top w:val="nil"/>
              <w:left w:val="nil"/>
              <w:bottom w:val="nil"/>
              <w:right w:val="nil"/>
            </w:tcBorders>
            <w:shd w:val="clear" w:color="auto" w:fill="auto"/>
            <w:noWrap/>
            <w:vAlign w:val="center"/>
            <w:hideMark/>
          </w:tcPr>
          <w:p w14:paraId="43E51966" w14:textId="1BBABA6B" w:rsidR="00371459" w:rsidRPr="00371459" w:rsidRDefault="00371459" w:rsidP="00C04984">
            <w:pPr>
              <w:jc w:val="center"/>
              <w:rPr>
                <w:rFonts w:ascii="dcr10" w:eastAsia="Times New Roman" w:hAnsi="dcr10" w:cs="Times New Roman"/>
                <w:i/>
                <w:color w:val="000000"/>
                <w:sz w:val="18"/>
                <w:szCs w:val="18"/>
              </w:rPr>
            </w:pPr>
            <w:r w:rsidRPr="00371459">
              <w:rPr>
                <w:rFonts w:ascii="dcr10" w:eastAsia="Times New Roman" w:hAnsi="dcr10" w:cs="Times New Roman"/>
                <w:i/>
                <w:color w:val="000000"/>
                <w:sz w:val="18"/>
                <w:szCs w:val="18"/>
              </w:rPr>
              <w:t>27.04</w:t>
            </w:r>
          </w:p>
        </w:tc>
        <w:tc>
          <w:tcPr>
            <w:tcW w:w="2041" w:type="dxa"/>
            <w:tcBorders>
              <w:top w:val="nil"/>
              <w:left w:val="nil"/>
              <w:bottom w:val="nil"/>
              <w:right w:val="nil"/>
            </w:tcBorders>
            <w:shd w:val="clear" w:color="auto" w:fill="auto"/>
            <w:noWrap/>
            <w:vAlign w:val="center"/>
            <w:hideMark/>
          </w:tcPr>
          <w:p w14:paraId="470C2B75" w14:textId="5B66F089" w:rsidR="00371459" w:rsidRPr="00371459" w:rsidRDefault="00371459" w:rsidP="00C04984">
            <w:pPr>
              <w:jc w:val="center"/>
              <w:rPr>
                <w:rFonts w:ascii="dcr10" w:eastAsia="Times New Roman" w:hAnsi="dcr10" w:cs="Times New Roman"/>
                <w:i/>
                <w:color w:val="000000"/>
                <w:sz w:val="18"/>
                <w:szCs w:val="18"/>
              </w:rPr>
            </w:pPr>
            <w:r w:rsidRPr="00371459">
              <w:rPr>
                <w:rFonts w:ascii="dcr10" w:eastAsia="Times New Roman" w:hAnsi="dcr10" w:cs="Times New Roman"/>
                <w:i/>
                <w:color w:val="000000"/>
                <w:sz w:val="18"/>
                <w:szCs w:val="18"/>
              </w:rPr>
              <w:t>33.54</w:t>
            </w:r>
          </w:p>
        </w:tc>
        <w:tc>
          <w:tcPr>
            <w:tcW w:w="1536" w:type="dxa"/>
            <w:tcBorders>
              <w:top w:val="nil"/>
              <w:left w:val="nil"/>
              <w:bottom w:val="nil"/>
              <w:right w:val="nil"/>
            </w:tcBorders>
            <w:shd w:val="clear" w:color="auto" w:fill="auto"/>
            <w:noWrap/>
            <w:vAlign w:val="center"/>
            <w:hideMark/>
          </w:tcPr>
          <w:p w14:paraId="38EBF355" w14:textId="5F3C4531" w:rsidR="00371459" w:rsidRPr="00371459" w:rsidRDefault="00371459" w:rsidP="00C04984">
            <w:pPr>
              <w:jc w:val="center"/>
              <w:rPr>
                <w:rFonts w:ascii="dcr10" w:eastAsia="Times New Roman" w:hAnsi="dcr10" w:cs="Times New Roman"/>
                <w:i/>
                <w:color w:val="000000"/>
                <w:sz w:val="18"/>
                <w:szCs w:val="18"/>
              </w:rPr>
            </w:pPr>
            <w:r w:rsidRPr="00371459">
              <w:rPr>
                <w:rFonts w:ascii="dcr10" w:eastAsia="Times New Roman" w:hAnsi="dcr10" w:cs="Times New Roman"/>
                <w:i/>
                <w:color w:val="000000"/>
                <w:sz w:val="18"/>
                <w:szCs w:val="18"/>
              </w:rPr>
              <w:t>23.92</w:t>
            </w:r>
          </w:p>
        </w:tc>
      </w:tr>
      <w:tr w:rsidR="00C04984" w:rsidRPr="00E21717" w14:paraId="54CCB6D8" w14:textId="77777777" w:rsidTr="00605E32">
        <w:trPr>
          <w:trHeight w:val="302"/>
        </w:trPr>
        <w:tc>
          <w:tcPr>
            <w:tcW w:w="3031" w:type="dxa"/>
            <w:tcBorders>
              <w:top w:val="nil"/>
              <w:left w:val="nil"/>
              <w:bottom w:val="nil"/>
              <w:right w:val="nil"/>
            </w:tcBorders>
            <w:shd w:val="clear" w:color="auto" w:fill="auto"/>
            <w:noWrap/>
            <w:vAlign w:val="bottom"/>
            <w:hideMark/>
          </w:tcPr>
          <w:p w14:paraId="6F583969" w14:textId="46B0C5EB" w:rsidR="00C04984" w:rsidRPr="00E21717" w:rsidRDefault="00C04984" w:rsidP="00C04984">
            <w:pPr>
              <w:rPr>
                <w:rFonts w:ascii="dcr10" w:eastAsia="Times New Roman" w:hAnsi="dcr10" w:cs="Times New Roman"/>
                <w:i/>
                <w:iCs/>
                <w:color w:val="000000"/>
                <w:sz w:val="17"/>
                <w:szCs w:val="17"/>
              </w:rPr>
            </w:pPr>
            <w:r w:rsidRPr="00E21717">
              <w:rPr>
                <w:rFonts w:ascii="dcr10" w:eastAsia="Times New Roman" w:hAnsi="dcr10" w:cs="Times New Roman"/>
                <w:i/>
                <w:iCs/>
                <w:color w:val="0000FF"/>
                <w:sz w:val="18"/>
                <w:szCs w:val="18"/>
              </w:rPr>
              <w:t xml:space="preserve">Big 6 </w:t>
            </w:r>
            <w:r>
              <w:rPr>
                <w:rFonts w:ascii="dcr10" w:eastAsia="Times New Roman" w:hAnsi="dcr10" w:cs="Times New Roman"/>
                <w:i/>
                <w:iCs/>
                <w:color w:val="0000FF"/>
                <w:sz w:val="18"/>
                <w:szCs w:val="18"/>
              </w:rPr>
              <w:t>Mean</w:t>
            </w:r>
            <w:r w:rsidRPr="00E21717">
              <w:rPr>
                <w:rFonts w:ascii="dcr10" w:eastAsia="Times New Roman" w:hAnsi="dcr10" w:cs="Times New Roman"/>
                <w:i/>
                <w:iCs/>
                <w:color w:val="0000FF"/>
                <w:sz w:val="18"/>
                <w:szCs w:val="18"/>
              </w:rPr>
              <w:t xml:space="preserve"> </w:t>
            </w:r>
          </w:p>
        </w:tc>
        <w:tc>
          <w:tcPr>
            <w:tcW w:w="1879" w:type="dxa"/>
            <w:tcBorders>
              <w:top w:val="nil"/>
              <w:left w:val="nil"/>
              <w:bottom w:val="nil"/>
              <w:right w:val="nil"/>
            </w:tcBorders>
            <w:shd w:val="clear" w:color="auto" w:fill="auto"/>
            <w:noWrap/>
            <w:vAlign w:val="bottom"/>
            <w:hideMark/>
          </w:tcPr>
          <w:p w14:paraId="269F6C67" w14:textId="77222F9A" w:rsidR="00C04984" w:rsidRPr="00E21717" w:rsidRDefault="0052181E" w:rsidP="00C04984">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24.30</w:t>
            </w:r>
          </w:p>
        </w:tc>
        <w:tc>
          <w:tcPr>
            <w:tcW w:w="2041" w:type="dxa"/>
            <w:tcBorders>
              <w:top w:val="nil"/>
              <w:left w:val="nil"/>
              <w:bottom w:val="nil"/>
              <w:right w:val="nil"/>
            </w:tcBorders>
            <w:shd w:val="clear" w:color="auto" w:fill="auto"/>
            <w:noWrap/>
            <w:vAlign w:val="bottom"/>
            <w:hideMark/>
          </w:tcPr>
          <w:p w14:paraId="4D0E7D9D" w14:textId="29D50CCC" w:rsidR="00C04984" w:rsidRPr="00E21717" w:rsidRDefault="0052181E" w:rsidP="00C04984">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31.35</w:t>
            </w:r>
          </w:p>
        </w:tc>
        <w:tc>
          <w:tcPr>
            <w:tcW w:w="1536" w:type="dxa"/>
            <w:tcBorders>
              <w:top w:val="nil"/>
              <w:left w:val="nil"/>
              <w:bottom w:val="nil"/>
              <w:right w:val="nil"/>
            </w:tcBorders>
            <w:shd w:val="clear" w:color="auto" w:fill="auto"/>
            <w:noWrap/>
            <w:vAlign w:val="bottom"/>
            <w:hideMark/>
          </w:tcPr>
          <w:p w14:paraId="3FF5D3D7" w14:textId="7FA5A1D8" w:rsidR="00C04984" w:rsidRPr="00E21717" w:rsidRDefault="0052181E" w:rsidP="00C04984">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18.94</w:t>
            </w:r>
          </w:p>
        </w:tc>
      </w:tr>
      <w:tr w:rsidR="00C04984" w:rsidRPr="00E21717" w14:paraId="720193A9" w14:textId="77777777" w:rsidTr="00605E32">
        <w:trPr>
          <w:trHeight w:val="302"/>
        </w:trPr>
        <w:tc>
          <w:tcPr>
            <w:tcW w:w="3031" w:type="dxa"/>
            <w:tcBorders>
              <w:top w:val="nil"/>
              <w:left w:val="nil"/>
              <w:bottom w:val="nil"/>
              <w:right w:val="nil"/>
            </w:tcBorders>
            <w:shd w:val="clear" w:color="auto" w:fill="auto"/>
            <w:noWrap/>
            <w:vAlign w:val="bottom"/>
            <w:hideMark/>
          </w:tcPr>
          <w:p w14:paraId="4C8F7135" w14:textId="1603B467" w:rsidR="00C04984" w:rsidRPr="00E21717" w:rsidRDefault="00C04984" w:rsidP="00C04984">
            <w:pPr>
              <w:rPr>
                <w:rFonts w:ascii="dcr10" w:eastAsia="Times New Roman" w:hAnsi="dcr10" w:cs="Times New Roman"/>
                <w:i/>
                <w:iCs/>
                <w:color w:val="000000"/>
                <w:sz w:val="17"/>
                <w:szCs w:val="17"/>
              </w:rPr>
            </w:pPr>
            <w:r w:rsidRPr="00E21717">
              <w:rPr>
                <w:rFonts w:ascii="dcr10" w:eastAsia="Times New Roman" w:hAnsi="dcr10" w:cs="Times New Roman"/>
                <w:i/>
                <w:iCs/>
                <w:color w:val="0000FF"/>
                <w:sz w:val="18"/>
                <w:szCs w:val="18"/>
              </w:rPr>
              <w:t xml:space="preserve">Big 6 </w:t>
            </w:r>
            <w:r>
              <w:rPr>
                <w:rFonts w:ascii="dcr10" w:eastAsia="Times New Roman" w:hAnsi="dcr10" w:cs="Times New Roman"/>
                <w:i/>
                <w:iCs/>
                <w:color w:val="0000FF"/>
                <w:sz w:val="18"/>
                <w:szCs w:val="18"/>
              </w:rPr>
              <w:t>Median</w:t>
            </w:r>
            <w:r w:rsidRPr="00E21717">
              <w:rPr>
                <w:rFonts w:ascii="dcr10" w:eastAsia="Times New Roman" w:hAnsi="dcr10" w:cs="Times New Roman"/>
                <w:i/>
                <w:iCs/>
                <w:color w:val="0000FF"/>
                <w:sz w:val="18"/>
                <w:szCs w:val="18"/>
              </w:rPr>
              <w:t xml:space="preserve"> </w:t>
            </w:r>
          </w:p>
        </w:tc>
        <w:tc>
          <w:tcPr>
            <w:tcW w:w="1879" w:type="dxa"/>
            <w:tcBorders>
              <w:top w:val="nil"/>
              <w:left w:val="nil"/>
              <w:bottom w:val="nil"/>
              <w:right w:val="nil"/>
            </w:tcBorders>
            <w:shd w:val="clear" w:color="auto" w:fill="auto"/>
            <w:noWrap/>
            <w:vAlign w:val="bottom"/>
            <w:hideMark/>
          </w:tcPr>
          <w:p w14:paraId="35F6D7F2" w14:textId="1AE7D1C7" w:rsidR="00C04984" w:rsidRPr="00E21717" w:rsidRDefault="0052181E" w:rsidP="00C04984">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25.52</w:t>
            </w:r>
          </w:p>
        </w:tc>
        <w:tc>
          <w:tcPr>
            <w:tcW w:w="2041" w:type="dxa"/>
            <w:tcBorders>
              <w:top w:val="nil"/>
              <w:left w:val="nil"/>
              <w:bottom w:val="nil"/>
              <w:right w:val="nil"/>
            </w:tcBorders>
            <w:shd w:val="clear" w:color="auto" w:fill="auto"/>
            <w:noWrap/>
            <w:vAlign w:val="bottom"/>
            <w:hideMark/>
          </w:tcPr>
          <w:p w14:paraId="59C722A6" w14:textId="0070C14D" w:rsidR="00C04984" w:rsidRPr="00E21717" w:rsidRDefault="0052181E" w:rsidP="00C04984">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31.17</w:t>
            </w:r>
          </w:p>
        </w:tc>
        <w:tc>
          <w:tcPr>
            <w:tcW w:w="1536" w:type="dxa"/>
            <w:tcBorders>
              <w:top w:val="nil"/>
              <w:left w:val="nil"/>
              <w:bottom w:val="nil"/>
              <w:right w:val="nil"/>
            </w:tcBorders>
            <w:shd w:val="clear" w:color="auto" w:fill="auto"/>
            <w:noWrap/>
            <w:vAlign w:val="bottom"/>
            <w:hideMark/>
          </w:tcPr>
          <w:p w14:paraId="47891BF0" w14:textId="1EDCC389" w:rsidR="00C04984" w:rsidRPr="00E21717" w:rsidRDefault="0052181E" w:rsidP="00C04984">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19.28</w:t>
            </w:r>
          </w:p>
        </w:tc>
      </w:tr>
    </w:tbl>
    <w:p w14:paraId="5B50B0EC" w14:textId="77777777" w:rsidR="00503847" w:rsidRDefault="00503847" w:rsidP="00C04984">
      <w:pPr>
        <w:rPr>
          <w:rFonts w:ascii="dcr10" w:eastAsia="Times New Roman" w:hAnsi="dcr10" w:cs="Times New Roman"/>
          <w:i/>
          <w:iCs/>
          <w:color w:val="0000FF"/>
          <w:sz w:val="18"/>
          <w:szCs w:val="18"/>
        </w:rPr>
        <w:sectPr w:rsidR="00503847" w:rsidSect="00170627">
          <w:pgSz w:w="12240" w:h="15840"/>
          <w:pgMar w:top="1296" w:right="1296" w:bottom="1296" w:left="1296" w:header="720" w:footer="720" w:gutter="0"/>
          <w:cols w:space="720"/>
          <w:docGrid w:linePitch="360"/>
        </w:sectPr>
      </w:pPr>
    </w:p>
    <w:tbl>
      <w:tblPr>
        <w:tblpPr w:leftFromText="180" w:rightFromText="180" w:vertAnchor="page" w:horzAnchor="page" w:tblpX="1909" w:tblpY="3241"/>
        <w:tblW w:w="8487" w:type="dxa"/>
        <w:tblLook w:val="04A0" w:firstRow="1" w:lastRow="0" w:firstColumn="1" w:lastColumn="0" w:noHBand="0" w:noVBand="1"/>
      </w:tblPr>
      <w:tblGrid>
        <w:gridCol w:w="3031"/>
        <w:gridCol w:w="1879"/>
        <w:gridCol w:w="2041"/>
        <w:gridCol w:w="1536"/>
      </w:tblGrid>
      <w:tr w:rsidR="00503847" w:rsidRPr="00E21717" w14:paraId="014A3CC7" w14:textId="77777777" w:rsidTr="00605E32">
        <w:trPr>
          <w:trHeight w:val="302"/>
        </w:trPr>
        <w:tc>
          <w:tcPr>
            <w:tcW w:w="3031" w:type="dxa"/>
            <w:tcBorders>
              <w:top w:val="nil"/>
              <w:left w:val="nil"/>
              <w:bottom w:val="nil"/>
              <w:right w:val="nil"/>
            </w:tcBorders>
            <w:shd w:val="clear" w:color="auto" w:fill="auto"/>
            <w:noWrap/>
            <w:vAlign w:val="bottom"/>
          </w:tcPr>
          <w:p w14:paraId="43CC4A36" w14:textId="24D004B1" w:rsidR="00503847" w:rsidRPr="00E21717" w:rsidRDefault="00503847" w:rsidP="00C04984">
            <w:pPr>
              <w:rPr>
                <w:rFonts w:ascii="dcr10" w:eastAsia="Times New Roman" w:hAnsi="dcr10" w:cs="Times New Roman"/>
                <w:i/>
                <w:iCs/>
                <w:color w:val="0000FF"/>
                <w:sz w:val="18"/>
                <w:szCs w:val="18"/>
              </w:rPr>
            </w:pPr>
          </w:p>
        </w:tc>
        <w:tc>
          <w:tcPr>
            <w:tcW w:w="1879" w:type="dxa"/>
            <w:tcBorders>
              <w:top w:val="nil"/>
              <w:left w:val="nil"/>
              <w:bottom w:val="nil"/>
              <w:right w:val="nil"/>
            </w:tcBorders>
            <w:shd w:val="clear" w:color="auto" w:fill="auto"/>
            <w:noWrap/>
            <w:vAlign w:val="bottom"/>
          </w:tcPr>
          <w:p w14:paraId="0F47D076" w14:textId="77777777" w:rsidR="00503847" w:rsidRDefault="00503847" w:rsidP="00C04984">
            <w:pPr>
              <w:jc w:val="center"/>
              <w:rPr>
                <w:rFonts w:ascii="dcr10" w:eastAsia="Times New Roman" w:hAnsi="dcr10" w:cs="Times New Roman"/>
                <w:i/>
                <w:iCs/>
                <w:color w:val="0000FF"/>
                <w:sz w:val="18"/>
                <w:szCs w:val="18"/>
              </w:rPr>
            </w:pPr>
          </w:p>
        </w:tc>
        <w:tc>
          <w:tcPr>
            <w:tcW w:w="2041" w:type="dxa"/>
            <w:tcBorders>
              <w:top w:val="nil"/>
              <w:left w:val="nil"/>
              <w:bottom w:val="nil"/>
              <w:right w:val="nil"/>
            </w:tcBorders>
            <w:shd w:val="clear" w:color="auto" w:fill="auto"/>
            <w:noWrap/>
            <w:vAlign w:val="bottom"/>
          </w:tcPr>
          <w:p w14:paraId="51150659" w14:textId="77777777" w:rsidR="00503847" w:rsidRDefault="00503847" w:rsidP="00C04984">
            <w:pPr>
              <w:jc w:val="center"/>
              <w:rPr>
                <w:rFonts w:ascii="dcr10" w:eastAsia="Times New Roman" w:hAnsi="dcr10" w:cs="Times New Roman"/>
                <w:i/>
                <w:iCs/>
                <w:color w:val="0000FF"/>
                <w:sz w:val="18"/>
                <w:szCs w:val="18"/>
              </w:rPr>
            </w:pPr>
          </w:p>
        </w:tc>
        <w:tc>
          <w:tcPr>
            <w:tcW w:w="1536" w:type="dxa"/>
            <w:tcBorders>
              <w:top w:val="nil"/>
              <w:left w:val="nil"/>
              <w:bottom w:val="nil"/>
              <w:right w:val="nil"/>
            </w:tcBorders>
            <w:shd w:val="clear" w:color="auto" w:fill="auto"/>
            <w:noWrap/>
            <w:vAlign w:val="bottom"/>
          </w:tcPr>
          <w:p w14:paraId="2EA1691D" w14:textId="77777777" w:rsidR="00503847" w:rsidRDefault="00503847" w:rsidP="00C04984">
            <w:pPr>
              <w:jc w:val="center"/>
              <w:rPr>
                <w:rFonts w:ascii="dcr10" w:eastAsia="Times New Roman" w:hAnsi="dcr10" w:cs="Times New Roman"/>
                <w:i/>
                <w:iCs/>
                <w:color w:val="0000FF"/>
                <w:sz w:val="18"/>
                <w:szCs w:val="18"/>
              </w:rPr>
            </w:pPr>
          </w:p>
        </w:tc>
      </w:tr>
    </w:tbl>
    <w:p w14:paraId="41A03789" w14:textId="2B95AE06" w:rsidR="00503847" w:rsidRPr="00E21717" w:rsidRDefault="00503847" w:rsidP="00503847">
      <w:pPr>
        <w:spacing w:after="120"/>
        <w:jc w:val="center"/>
        <w:rPr>
          <w:rFonts w:ascii="dcr10" w:hAnsi="dcr10"/>
        </w:rPr>
      </w:pPr>
      <w:r w:rsidRPr="00E21717">
        <w:rPr>
          <w:rFonts w:ascii="dcr10" w:hAnsi="dcr10"/>
        </w:rPr>
        <w:t xml:space="preserve">Table </w:t>
      </w:r>
      <w:r>
        <w:rPr>
          <w:rFonts w:ascii="dcr10" w:hAnsi="dcr10"/>
        </w:rPr>
        <w:t>IV</w:t>
      </w:r>
      <w:r w:rsidRPr="00E21717">
        <w:rPr>
          <w:rFonts w:ascii="dcr10" w:hAnsi="dcr10"/>
        </w:rPr>
        <w:br/>
      </w:r>
      <w:r>
        <w:rPr>
          <w:rFonts w:ascii="dcr10" w:hAnsi="dcr10"/>
        </w:rPr>
        <w:t>Bank Volatility/Market Volatility for International Banks</w:t>
      </w:r>
    </w:p>
    <w:p w14:paraId="3A7F4887" w14:textId="77777777" w:rsidR="00503847" w:rsidRPr="00E21717" w:rsidRDefault="00503847" w:rsidP="00503847">
      <w:pPr>
        <w:jc w:val="both"/>
        <w:rPr>
          <w:rFonts w:ascii="dcr10" w:hAnsi="dcr10"/>
        </w:rPr>
      </w:pPr>
    </w:p>
    <w:p w14:paraId="400E4101" w14:textId="3068510A" w:rsidR="00503847" w:rsidRPr="00E21717" w:rsidRDefault="00503847" w:rsidP="00503847">
      <w:pPr>
        <w:jc w:val="both"/>
        <w:rPr>
          <w:rFonts w:ascii="dcr10" w:hAnsi="dcr10"/>
        </w:rPr>
      </w:pPr>
      <w:r w:rsidRPr="00E21717">
        <w:rPr>
          <w:rFonts w:ascii="dcr10" w:hAnsi="dcr10"/>
        </w:rPr>
        <w:t xml:space="preserve">This table </w:t>
      </w:r>
      <w:r w:rsidR="00C2334E">
        <w:rPr>
          <w:rFonts w:ascii="dcr10" w:hAnsi="dcr10"/>
        </w:rPr>
        <w:t>compares bank to market volatility</w:t>
      </w:r>
      <w:r w:rsidRPr="00E21717">
        <w:rPr>
          <w:rFonts w:ascii="dcr10" w:hAnsi="dcr10"/>
        </w:rPr>
        <w:t xml:space="preserve"> for the thirty largest international financial institutions (excluding Chinese and American banks)</w:t>
      </w:r>
      <w:r>
        <w:rPr>
          <w:rFonts w:ascii="dcr10" w:hAnsi="dcr10"/>
        </w:rPr>
        <w:t xml:space="preserve"> for whom data is available</w:t>
      </w:r>
      <w:r w:rsidRPr="00E21717">
        <w:rPr>
          <w:rFonts w:ascii="dcr10" w:hAnsi="dcr10"/>
        </w:rPr>
        <w:t xml:space="preserve">. Pre-crisis is 2002-2007, and post-crisis is 2010-2014. We also compare pre-crisis to the most recent 2014 data. </w:t>
      </w:r>
    </w:p>
    <w:p w14:paraId="7DE094A8" w14:textId="77777777" w:rsidR="00503847" w:rsidRPr="00E21717" w:rsidRDefault="00503847" w:rsidP="00503847">
      <w:pPr>
        <w:jc w:val="both"/>
        <w:rPr>
          <w:rFonts w:ascii="dcr10" w:hAnsi="dcr10"/>
        </w:rPr>
      </w:pPr>
    </w:p>
    <w:tbl>
      <w:tblPr>
        <w:tblpPr w:leftFromText="180" w:rightFromText="180" w:vertAnchor="page" w:horzAnchor="page" w:tblpX="1909" w:tblpY="3241"/>
        <w:tblW w:w="8487" w:type="dxa"/>
        <w:tblLook w:val="04A0" w:firstRow="1" w:lastRow="0" w:firstColumn="1" w:lastColumn="0" w:noHBand="0" w:noVBand="1"/>
      </w:tblPr>
      <w:tblGrid>
        <w:gridCol w:w="3031"/>
        <w:gridCol w:w="1879"/>
        <w:gridCol w:w="2041"/>
        <w:gridCol w:w="1536"/>
      </w:tblGrid>
      <w:tr w:rsidR="00503847" w:rsidRPr="00E21717" w14:paraId="298DE2D0" w14:textId="77777777" w:rsidTr="0010288E">
        <w:trPr>
          <w:trHeight w:val="302"/>
        </w:trPr>
        <w:tc>
          <w:tcPr>
            <w:tcW w:w="3031" w:type="dxa"/>
            <w:tcBorders>
              <w:top w:val="single" w:sz="4" w:space="0" w:color="auto"/>
              <w:left w:val="nil"/>
              <w:bottom w:val="single" w:sz="4" w:space="0" w:color="auto"/>
              <w:right w:val="nil"/>
            </w:tcBorders>
            <w:shd w:val="clear" w:color="auto" w:fill="auto"/>
            <w:noWrap/>
            <w:vAlign w:val="center"/>
            <w:hideMark/>
          </w:tcPr>
          <w:p w14:paraId="2BB3F44F" w14:textId="77777777" w:rsidR="00503847" w:rsidRPr="00E21717" w:rsidRDefault="00503847" w:rsidP="0010288E">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 xml:space="preserve">Bank  </w:t>
            </w:r>
          </w:p>
        </w:tc>
        <w:tc>
          <w:tcPr>
            <w:tcW w:w="1879" w:type="dxa"/>
            <w:tcBorders>
              <w:top w:val="single" w:sz="4" w:space="0" w:color="auto"/>
              <w:left w:val="nil"/>
              <w:bottom w:val="single" w:sz="4" w:space="0" w:color="auto"/>
              <w:right w:val="nil"/>
            </w:tcBorders>
            <w:shd w:val="clear" w:color="auto" w:fill="auto"/>
            <w:noWrap/>
            <w:vAlign w:val="center"/>
            <w:hideMark/>
          </w:tcPr>
          <w:p w14:paraId="31B0372B" w14:textId="77777777" w:rsidR="00503847" w:rsidRPr="00E21717" w:rsidRDefault="00503847" w:rsidP="0010288E">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Pre-crisis average</w:t>
            </w:r>
          </w:p>
        </w:tc>
        <w:tc>
          <w:tcPr>
            <w:tcW w:w="2041" w:type="dxa"/>
            <w:tcBorders>
              <w:top w:val="single" w:sz="4" w:space="0" w:color="auto"/>
              <w:left w:val="nil"/>
              <w:bottom w:val="single" w:sz="4" w:space="0" w:color="auto"/>
              <w:right w:val="nil"/>
            </w:tcBorders>
            <w:shd w:val="clear" w:color="auto" w:fill="auto"/>
            <w:noWrap/>
            <w:vAlign w:val="center"/>
            <w:hideMark/>
          </w:tcPr>
          <w:p w14:paraId="50413680" w14:textId="77777777" w:rsidR="00503847" w:rsidRPr="00E21717" w:rsidRDefault="00503847" w:rsidP="0010288E">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Post-crisis average</w:t>
            </w:r>
          </w:p>
        </w:tc>
        <w:tc>
          <w:tcPr>
            <w:tcW w:w="1536" w:type="dxa"/>
            <w:tcBorders>
              <w:top w:val="single" w:sz="4" w:space="0" w:color="auto"/>
              <w:left w:val="nil"/>
              <w:bottom w:val="single" w:sz="4" w:space="0" w:color="auto"/>
              <w:right w:val="nil"/>
            </w:tcBorders>
            <w:shd w:val="clear" w:color="auto" w:fill="auto"/>
            <w:noWrap/>
            <w:vAlign w:val="center"/>
            <w:hideMark/>
          </w:tcPr>
          <w:p w14:paraId="70D4AA15" w14:textId="77777777" w:rsidR="00503847" w:rsidRPr="00E21717" w:rsidRDefault="00503847" w:rsidP="0010288E">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2014 average</w:t>
            </w:r>
          </w:p>
        </w:tc>
      </w:tr>
      <w:tr w:rsidR="00503847" w:rsidRPr="00E21717" w14:paraId="41015E56" w14:textId="77777777" w:rsidTr="0010288E">
        <w:trPr>
          <w:trHeight w:val="302"/>
        </w:trPr>
        <w:tc>
          <w:tcPr>
            <w:tcW w:w="3031" w:type="dxa"/>
            <w:tcBorders>
              <w:top w:val="single" w:sz="4" w:space="0" w:color="auto"/>
              <w:left w:val="nil"/>
              <w:bottom w:val="nil"/>
              <w:right w:val="nil"/>
            </w:tcBorders>
            <w:shd w:val="clear" w:color="auto" w:fill="auto"/>
            <w:noWrap/>
            <w:vAlign w:val="center"/>
            <w:hideMark/>
          </w:tcPr>
          <w:p w14:paraId="434310B7" w14:textId="77777777" w:rsidR="00503847" w:rsidRPr="00E21717" w:rsidRDefault="00503847" w:rsidP="0010288E">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Credit </w:t>
            </w:r>
            <w:proofErr w:type="spellStart"/>
            <w:r w:rsidRPr="00E21717">
              <w:rPr>
                <w:rFonts w:ascii="dcr10" w:eastAsia="Times New Roman" w:hAnsi="dcr10" w:cs="Times New Roman"/>
                <w:color w:val="000000"/>
                <w:sz w:val="18"/>
                <w:szCs w:val="18"/>
              </w:rPr>
              <w:t>Agricole</w:t>
            </w:r>
            <w:proofErr w:type="spellEnd"/>
            <w:r w:rsidRPr="00E21717">
              <w:rPr>
                <w:rFonts w:ascii="dcr10" w:eastAsia="Times New Roman" w:hAnsi="dcr10" w:cs="Times New Roman"/>
                <w:color w:val="000000"/>
                <w:sz w:val="18"/>
                <w:szCs w:val="18"/>
              </w:rPr>
              <w:t xml:space="preserve"> Group</w:t>
            </w:r>
          </w:p>
        </w:tc>
        <w:tc>
          <w:tcPr>
            <w:tcW w:w="1879" w:type="dxa"/>
            <w:tcBorders>
              <w:top w:val="single" w:sz="4" w:space="0" w:color="auto"/>
              <w:left w:val="nil"/>
              <w:bottom w:val="nil"/>
              <w:right w:val="nil"/>
            </w:tcBorders>
            <w:shd w:val="clear" w:color="auto" w:fill="auto"/>
            <w:noWrap/>
            <w:vAlign w:val="center"/>
            <w:hideMark/>
          </w:tcPr>
          <w:p w14:paraId="7EE51D6F" w14:textId="0FFCFDBB"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1.48</w:t>
            </w:r>
          </w:p>
        </w:tc>
        <w:tc>
          <w:tcPr>
            <w:tcW w:w="2041" w:type="dxa"/>
            <w:tcBorders>
              <w:top w:val="single" w:sz="4" w:space="0" w:color="auto"/>
              <w:left w:val="nil"/>
              <w:bottom w:val="nil"/>
              <w:right w:val="nil"/>
            </w:tcBorders>
            <w:shd w:val="clear" w:color="auto" w:fill="auto"/>
            <w:noWrap/>
            <w:vAlign w:val="center"/>
            <w:hideMark/>
          </w:tcPr>
          <w:p w14:paraId="36A72D2D" w14:textId="15DD05CB"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2.09</w:t>
            </w:r>
          </w:p>
        </w:tc>
        <w:tc>
          <w:tcPr>
            <w:tcW w:w="1536" w:type="dxa"/>
            <w:tcBorders>
              <w:top w:val="single" w:sz="4" w:space="0" w:color="auto"/>
              <w:left w:val="nil"/>
              <w:bottom w:val="nil"/>
              <w:right w:val="nil"/>
            </w:tcBorders>
            <w:shd w:val="clear" w:color="auto" w:fill="auto"/>
            <w:noWrap/>
            <w:vAlign w:val="center"/>
            <w:hideMark/>
          </w:tcPr>
          <w:p w14:paraId="467CE8F2" w14:textId="680F6224"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1.94</w:t>
            </w:r>
          </w:p>
        </w:tc>
      </w:tr>
      <w:tr w:rsidR="00503847" w:rsidRPr="00E21717" w14:paraId="1992B899" w14:textId="77777777" w:rsidTr="0010288E">
        <w:trPr>
          <w:trHeight w:val="302"/>
        </w:trPr>
        <w:tc>
          <w:tcPr>
            <w:tcW w:w="3031" w:type="dxa"/>
            <w:tcBorders>
              <w:top w:val="nil"/>
              <w:left w:val="nil"/>
              <w:bottom w:val="nil"/>
              <w:right w:val="nil"/>
            </w:tcBorders>
            <w:shd w:val="clear" w:color="auto" w:fill="auto"/>
            <w:noWrap/>
            <w:vAlign w:val="center"/>
            <w:hideMark/>
          </w:tcPr>
          <w:p w14:paraId="6C8CDB96" w14:textId="77777777" w:rsidR="00503847" w:rsidRPr="00E21717" w:rsidRDefault="00503847" w:rsidP="0010288E">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Australia &amp; NZ Bank</w:t>
            </w:r>
          </w:p>
        </w:tc>
        <w:tc>
          <w:tcPr>
            <w:tcW w:w="1879" w:type="dxa"/>
            <w:tcBorders>
              <w:top w:val="nil"/>
              <w:left w:val="nil"/>
              <w:bottom w:val="nil"/>
              <w:right w:val="nil"/>
            </w:tcBorders>
            <w:shd w:val="clear" w:color="auto" w:fill="auto"/>
            <w:noWrap/>
            <w:vAlign w:val="center"/>
            <w:hideMark/>
          </w:tcPr>
          <w:p w14:paraId="72D0FB3B" w14:textId="1E028E36"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1.10</w:t>
            </w:r>
          </w:p>
        </w:tc>
        <w:tc>
          <w:tcPr>
            <w:tcW w:w="2041" w:type="dxa"/>
            <w:tcBorders>
              <w:top w:val="nil"/>
              <w:left w:val="nil"/>
              <w:bottom w:val="nil"/>
              <w:right w:val="nil"/>
            </w:tcBorders>
            <w:shd w:val="clear" w:color="auto" w:fill="auto"/>
            <w:noWrap/>
            <w:vAlign w:val="center"/>
            <w:hideMark/>
          </w:tcPr>
          <w:p w14:paraId="5642FC72" w14:textId="75F7A552"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1.42</w:t>
            </w:r>
          </w:p>
        </w:tc>
        <w:tc>
          <w:tcPr>
            <w:tcW w:w="1536" w:type="dxa"/>
            <w:tcBorders>
              <w:top w:val="nil"/>
              <w:left w:val="nil"/>
              <w:bottom w:val="nil"/>
              <w:right w:val="nil"/>
            </w:tcBorders>
            <w:shd w:val="clear" w:color="auto" w:fill="auto"/>
            <w:noWrap/>
            <w:vAlign w:val="center"/>
            <w:hideMark/>
          </w:tcPr>
          <w:p w14:paraId="62DB7E8C" w14:textId="578BB1D6"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1.44</w:t>
            </w:r>
          </w:p>
        </w:tc>
      </w:tr>
      <w:tr w:rsidR="00503847" w:rsidRPr="00E21717" w14:paraId="23BFC843" w14:textId="77777777" w:rsidTr="0010288E">
        <w:trPr>
          <w:trHeight w:val="302"/>
        </w:trPr>
        <w:tc>
          <w:tcPr>
            <w:tcW w:w="3031" w:type="dxa"/>
            <w:tcBorders>
              <w:top w:val="nil"/>
              <w:left w:val="nil"/>
              <w:bottom w:val="nil"/>
              <w:right w:val="nil"/>
            </w:tcBorders>
            <w:shd w:val="clear" w:color="auto" w:fill="auto"/>
            <w:noWrap/>
            <w:vAlign w:val="center"/>
            <w:hideMark/>
          </w:tcPr>
          <w:p w14:paraId="2CC0831A" w14:textId="77777777" w:rsidR="00503847" w:rsidRPr="00E21717" w:rsidRDefault="00503847" w:rsidP="0010288E">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Banco</w:t>
            </w:r>
            <w:proofErr w:type="spellEnd"/>
            <w:r w:rsidRPr="00E21717">
              <w:rPr>
                <w:rFonts w:ascii="dcr10" w:eastAsia="Times New Roman" w:hAnsi="dcr10" w:cs="Times New Roman"/>
                <w:color w:val="000000"/>
                <w:sz w:val="18"/>
                <w:szCs w:val="18"/>
              </w:rPr>
              <w:t xml:space="preserve"> do </w:t>
            </w:r>
            <w:proofErr w:type="spellStart"/>
            <w:r w:rsidRPr="00E21717">
              <w:rPr>
                <w:rFonts w:ascii="dcr10" w:eastAsia="Times New Roman" w:hAnsi="dcr10" w:cs="Times New Roman"/>
                <w:color w:val="000000"/>
                <w:sz w:val="18"/>
                <w:szCs w:val="18"/>
              </w:rPr>
              <w:t>Brasil</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707234CA" w14:textId="70B977CC"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3.63</w:t>
            </w:r>
          </w:p>
        </w:tc>
        <w:tc>
          <w:tcPr>
            <w:tcW w:w="2041" w:type="dxa"/>
            <w:tcBorders>
              <w:top w:val="nil"/>
              <w:left w:val="nil"/>
              <w:bottom w:val="nil"/>
              <w:right w:val="nil"/>
            </w:tcBorders>
            <w:shd w:val="clear" w:color="auto" w:fill="auto"/>
            <w:noWrap/>
            <w:vAlign w:val="center"/>
            <w:hideMark/>
          </w:tcPr>
          <w:p w14:paraId="686019FF" w14:textId="40DF1206"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1.42</w:t>
            </w:r>
          </w:p>
        </w:tc>
        <w:tc>
          <w:tcPr>
            <w:tcW w:w="1536" w:type="dxa"/>
            <w:tcBorders>
              <w:top w:val="nil"/>
              <w:left w:val="nil"/>
              <w:bottom w:val="nil"/>
              <w:right w:val="nil"/>
            </w:tcBorders>
            <w:shd w:val="clear" w:color="auto" w:fill="auto"/>
            <w:noWrap/>
            <w:vAlign w:val="center"/>
            <w:hideMark/>
          </w:tcPr>
          <w:p w14:paraId="49D24C23" w14:textId="172C6A34"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1.64</w:t>
            </w:r>
          </w:p>
        </w:tc>
      </w:tr>
      <w:tr w:rsidR="00503847" w:rsidRPr="00E21717" w14:paraId="660120DC" w14:textId="77777777" w:rsidTr="0010288E">
        <w:trPr>
          <w:trHeight w:val="302"/>
        </w:trPr>
        <w:tc>
          <w:tcPr>
            <w:tcW w:w="3031" w:type="dxa"/>
            <w:tcBorders>
              <w:top w:val="nil"/>
              <w:left w:val="nil"/>
              <w:bottom w:val="nil"/>
              <w:right w:val="nil"/>
            </w:tcBorders>
            <w:shd w:val="clear" w:color="auto" w:fill="auto"/>
            <w:noWrap/>
            <w:vAlign w:val="center"/>
            <w:hideMark/>
          </w:tcPr>
          <w:p w14:paraId="0F727B40" w14:textId="77777777" w:rsidR="00503847" w:rsidRPr="00E21717" w:rsidRDefault="00503847" w:rsidP="0010288E">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Bank of Montreal </w:t>
            </w:r>
          </w:p>
        </w:tc>
        <w:tc>
          <w:tcPr>
            <w:tcW w:w="1879" w:type="dxa"/>
            <w:tcBorders>
              <w:top w:val="nil"/>
              <w:left w:val="nil"/>
              <w:bottom w:val="nil"/>
              <w:right w:val="nil"/>
            </w:tcBorders>
            <w:shd w:val="clear" w:color="auto" w:fill="auto"/>
            <w:noWrap/>
            <w:vAlign w:val="center"/>
            <w:hideMark/>
          </w:tcPr>
          <w:p w14:paraId="35EEEF9D" w14:textId="25F32BC4"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1.13</w:t>
            </w:r>
          </w:p>
        </w:tc>
        <w:tc>
          <w:tcPr>
            <w:tcW w:w="2041" w:type="dxa"/>
            <w:tcBorders>
              <w:top w:val="nil"/>
              <w:left w:val="nil"/>
              <w:bottom w:val="nil"/>
              <w:right w:val="nil"/>
            </w:tcBorders>
            <w:shd w:val="clear" w:color="auto" w:fill="auto"/>
            <w:noWrap/>
            <w:vAlign w:val="center"/>
            <w:hideMark/>
          </w:tcPr>
          <w:p w14:paraId="2A6B17B4" w14:textId="07828D6A"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1.17</w:t>
            </w:r>
          </w:p>
        </w:tc>
        <w:tc>
          <w:tcPr>
            <w:tcW w:w="1536" w:type="dxa"/>
            <w:tcBorders>
              <w:top w:val="nil"/>
              <w:left w:val="nil"/>
              <w:bottom w:val="nil"/>
              <w:right w:val="nil"/>
            </w:tcBorders>
            <w:shd w:val="clear" w:color="auto" w:fill="auto"/>
            <w:noWrap/>
            <w:vAlign w:val="center"/>
            <w:hideMark/>
          </w:tcPr>
          <w:p w14:paraId="69791AAC" w14:textId="0F1CBF6B"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1.22</w:t>
            </w:r>
          </w:p>
        </w:tc>
      </w:tr>
      <w:tr w:rsidR="00503847" w:rsidRPr="00E21717" w14:paraId="7AB793B1" w14:textId="77777777" w:rsidTr="0010288E">
        <w:trPr>
          <w:trHeight w:val="302"/>
        </w:trPr>
        <w:tc>
          <w:tcPr>
            <w:tcW w:w="3031" w:type="dxa"/>
            <w:tcBorders>
              <w:top w:val="nil"/>
              <w:left w:val="nil"/>
              <w:bottom w:val="nil"/>
              <w:right w:val="nil"/>
            </w:tcBorders>
            <w:shd w:val="clear" w:color="auto" w:fill="auto"/>
            <w:noWrap/>
            <w:vAlign w:val="center"/>
            <w:hideMark/>
          </w:tcPr>
          <w:p w14:paraId="545672BC" w14:textId="77777777" w:rsidR="00503847" w:rsidRPr="00E21717" w:rsidRDefault="00503847" w:rsidP="0010288E">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Barclays PLC</w:t>
            </w:r>
          </w:p>
        </w:tc>
        <w:tc>
          <w:tcPr>
            <w:tcW w:w="1879" w:type="dxa"/>
            <w:tcBorders>
              <w:top w:val="nil"/>
              <w:left w:val="nil"/>
              <w:bottom w:val="nil"/>
              <w:right w:val="nil"/>
            </w:tcBorders>
            <w:shd w:val="clear" w:color="auto" w:fill="auto"/>
            <w:noWrap/>
            <w:vAlign w:val="center"/>
            <w:hideMark/>
          </w:tcPr>
          <w:p w14:paraId="137C75D5" w14:textId="1FF80FB0"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1.79</w:t>
            </w:r>
          </w:p>
        </w:tc>
        <w:tc>
          <w:tcPr>
            <w:tcW w:w="2041" w:type="dxa"/>
            <w:tcBorders>
              <w:top w:val="nil"/>
              <w:left w:val="nil"/>
              <w:bottom w:val="nil"/>
              <w:right w:val="nil"/>
            </w:tcBorders>
            <w:shd w:val="clear" w:color="auto" w:fill="auto"/>
            <w:noWrap/>
            <w:vAlign w:val="center"/>
            <w:hideMark/>
          </w:tcPr>
          <w:p w14:paraId="28C1368F" w14:textId="2CF34F3B"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2.68</w:t>
            </w:r>
          </w:p>
        </w:tc>
        <w:tc>
          <w:tcPr>
            <w:tcW w:w="1536" w:type="dxa"/>
            <w:tcBorders>
              <w:top w:val="nil"/>
              <w:left w:val="nil"/>
              <w:bottom w:val="nil"/>
              <w:right w:val="nil"/>
            </w:tcBorders>
            <w:shd w:val="clear" w:color="auto" w:fill="auto"/>
            <w:noWrap/>
            <w:vAlign w:val="center"/>
            <w:hideMark/>
          </w:tcPr>
          <w:p w14:paraId="1756DF0C" w14:textId="50100A9E"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2.32</w:t>
            </w:r>
          </w:p>
        </w:tc>
      </w:tr>
      <w:tr w:rsidR="00503847" w:rsidRPr="00E21717" w14:paraId="143CC52B" w14:textId="77777777" w:rsidTr="0010288E">
        <w:trPr>
          <w:trHeight w:val="302"/>
        </w:trPr>
        <w:tc>
          <w:tcPr>
            <w:tcW w:w="3031" w:type="dxa"/>
            <w:tcBorders>
              <w:top w:val="nil"/>
              <w:left w:val="nil"/>
              <w:bottom w:val="nil"/>
              <w:right w:val="nil"/>
            </w:tcBorders>
            <w:shd w:val="clear" w:color="auto" w:fill="auto"/>
            <w:noWrap/>
            <w:vAlign w:val="center"/>
            <w:hideMark/>
          </w:tcPr>
          <w:p w14:paraId="6FA9E050" w14:textId="77777777" w:rsidR="00503847" w:rsidRPr="00E21717" w:rsidRDefault="00503847" w:rsidP="0010288E">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BNP Paribas</w:t>
            </w:r>
          </w:p>
        </w:tc>
        <w:tc>
          <w:tcPr>
            <w:tcW w:w="1879" w:type="dxa"/>
            <w:tcBorders>
              <w:top w:val="nil"/>
              <w:left w:val="nil"/>
              <w:bottom w:val="nil"/>
              <w:right w:val="nil"/>
            </w:tcBorders>
            <w:shd w:val="clear" w:color="auto" w:fill="auto"/>
            <w:noWrap/>
            <w:vAlign w:val="center"/>
            <w:hideMark/>
          </w:tcPr>
          <w:p w14:paraId="630F565F" w14:textId="33E8D751"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1.34</w:t>
            </w:r>
          </w:p>
        </w:tc>
        <w:tc>
          <w:tcPr>
            <w:tcW w:w="2041" w:type="dxa"/>
            <w:tcBorders>
              <w:top w:val="nil"/>
              <w:left w:val="nil"/>
              <w:bottom w:val="nil"/>
              <w:right w:val="nil"/>
            </w:tcBorders>
            <w:shd w:val="clear" w:color="auto" w:fill="auto"/>
            <w:noWrap/>
            <w:vAlign w:val="center"/>
            <w:hideMark/>
          </w:tcPr>
          <w:p w14:paraId="5E715759" w14:textId="03AF703E"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1.85</w:t>
            </w:r>
          </w:p>
        </w:tc>
        <w:tc>
          <w:tcPr>
            <w:tcW w:w="1536" w:type="dxa"/>
            <w:tcBorders>
              <w:top w:val="nil"/>
              <w:left w:val="nil"/>
              <w:bottom w:val="nil"/>
              <w:right w:val="nil"/>
            </w:tcBorders>
            <w:shd w:val="clear" w:color="auto" w:fill="auto"/>
            <w:noWrap/>
            <w:vAlign w:val="center"/>
            <w:hideMark/>
          </w:tcPr>
          <w:p w14:paraId="3D30CD32" w14:textId="0B7350F3"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1.63</w:t>
            </w:r>
          </w:p>
        </w:tc>
      </w:tr>
      <w:tr w:rsidR="00503847" w:rsidRPr="00E21717" w14:paraId="51FD4D9A" w14:textId="77777777" w:rsidTr="0010288E">
        <w:trPr>
          <w:trHeight w:val="302"/>
        </w:trPr>
        <w:tc>
          <w:tcPr>
            <w:tcW w:w="3031" w:type="dxa"/>
            <w:tcBorders>
              <w:top w:val="nil"/>
              <w:left w:val="nil"/>
              <w:bottom w:val="nil"/>
              <w:right w:val="nil"/>
            </w:tcBorders>
            <w:shd w:val="clear" w:color="auto" w:fill="auto"/>
            <w:noWrap/>
            <w:vAlign w:val="center"/>
            <w:hideMark/>
          </w:tcPr>
          <w:p w14:paraId="7A64B977" w14:textId="77777777" w:rsidR="00503847" w:rsidRPr="00E21717" w:rsidRDefault="00503847" w:rsidP="0010288E">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Commerzbank </w:t>
            </w:r>
          </w:p>
        </w:tc>
        <w:tc>
          <w:tcPr>
            <w:tcW w:w="1879" w:type="dxa"/>
            <w:tcBorders>
              <w:top w:val="nil"/>
              <w:left w:val="nil"/>
              <w:bottom w:val="nil"/>
              <w:right w:val="nil"/>
            </w:tcBorders>
            <w:shd w:val="clear" w:color="auto" w:fill="auto"/>
            <w:noWrap/>
            <w:vAlign w:val="center"/>
            <w:hideMark/>
          </w:tcPr>
          <w:p w14:paraId="052C08F0" w14:textId="3A10FCB4"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1.66</w:t>
            </w:r>
          </w:p>
        </w:tc>
        <w:tc>
          <w:tcPr>
            <w:tcW w:w="2041" w:type="dxa"/>
            <w:tcBorders>
              <w:top w:val="nil"/>
              <w:left w:val="nil"/>
              <w:bottom w:val="nil"/>
              <w:right w:val="nil"/>
            </w:tcBorders>
            <w:shd w:val="clear" w:color="auto" w:fill="auto"/>
            <w:noWrap/>
            <w:vAlign w:val="center"/>
            <w:hideMark/>
          </w:tcPr>
          <w:p w14:paraId="055F98A9" w14:textId="2D2D8A34"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2.38</w:t>
            </w:r>
          </w:p>
        </w:tc>
        <w:tc>
          <w:tcPr>
            <w:tcW w:w="1536" w:type="dxa"/>
            <w:tcBorders>
              <w:top w:val="nil"/>
              <w:left w:val="nil"/>
              <w:bottom w:val="nil"/>
              <w:right w:val="nil"/>
            </w:tcBorders>
            <w:shd w:val="clear" w:color="auto" w:fill="auto"/>
            <w:noWrap/>
            <w:vAlign w:val="center"/>
            <w:hideMark/>
          </w:tcPr>
          <w:p w14:paraId="3F704B15" w14:textId="17F71F1F"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2.74</w:t>
            </w:r>
          </w:p>
        </w:tc>
      </w:tr>
      <w:tr w:rsidR="00503847" w:rsidRPr="00E21717" w14:paraId="3B361F18" w14:textId="77777777" w:rsidTr="0010288E">
        <w:trPr>
          <w:trHeight w:val="302"/>
        </w:trPr>
        <w:tc>
          <w:tcPr>
            <w:tcW w:w="3031" w:type="dxa"/>
            <w:tcBorders>
              <w:top w:val="nil"/>
              <w:left w:val="nil"/>
              <w:bottom w:val="nil"/>
              <w:right w:val="nil"/>
            </w:tcBorders>
            <w:shd w:val="clear" w:color="auto" w:fill="auto"/>
            <w:noWrap/>
            <w:vAlign w:val="center"/>
            <w:hideMark/>
          </w:tcPr>
          <w:p w14:paraId="7D96F923" w14:textId="77777777" w:rsidR="00503847" w:rsidRPr="00E21717" w:rsidRDefault="00503847" w:rsidP="0010288E">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Credit Suisse Group </w:t>
            </w:r>
          </w:p>
        </w:tc>
        <w:tc>
          <w:tcPr>
            <w:tcW w:w="1879" w:type="dxa"/>
            <w:tcBorders>
              <w:top w:val="nil"/>
              <w:left w:val="nil"/>
              <w:bottom w:val="nil"/>
              <w:right w:val="nil"/>
            </w:tcBorders>
            <w:shd w:val="clear" w:color="auto" w:fill="auto"/>
            <w:noWrap/>
            <w:vAlign w:val="center"/>
            <w:hideMark/>
          </w:tcPr>
          <w:p w14:paraId="23E0BF02" w14:textId="06CE3148"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1.34</w:t>
            </w:r>
          </w:p>
        </w:tc>
        <w:tc>
          <w:tcPr>
            <w:tcW w:w="2041" w:type="dxa"/>
            <w:tcBorders>
              <w:top w:val="nil"/>
              <w:left w:val="nil"/>
              <w:bottom w:val="nil"/>
              <w:right w:val="nil"/>
            </w:tcBorders>
            <w:shd w:val="clear" w:color="auto" w:fill="auto"/>
            <w:noWrap/>
            <w:vAlign w:val="center"/>
            <w:hideMark/>
          </w:tcPr>
          <w:p w14:paraId="000C7CFB" w14:textId="0DC0DB56"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2.22</w:t>
            </w:r>
          </w:p>
        </w:tc>
        <w:tc>
          <w:tcPr>
            <w:tcW w:w="1536" w:type="dxa"/>
            <w:tcBorders>
              <w:top w:val="nil"/>
              <w:left w:val="nil"/>
              <w:bottom w:val="nil"/>
              <w:right w:val="nil"/>
            </w:tcBorders>
            <w:shd w:val="clear" w:color="auto" w:fill="auto"/>
            <w:noWrap/>
            <w:vAlign w:val="center"/>
            <w:hideMark/>
          </w:tcPr>
          <w:p w14:paraId="7A236712" w14:textId="69563D79"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1.88</w:t>
            </w:r>
          </w:p>
        </w:tc>
      </w:tr>
      <w:tr w:rsidR="00503847" w:rsidRPr="00E21717" w14:paraId="359E8E9E" w14:textId="77777777" w:rsidTr="0010288E">
        <w:trPr>
          <w:trHeight w:val="302"/>
        </w:trPr>
        <w:tc>
          <w:tcPr>
            <w:tcW w:w="3031" w:type="dxa"/>
            <w:tcBorders>
              <w:top w:val="nil"/>
              <w:left w:val="nil"/>
              <w:bottom w:val="nil"/>
              <w:right w:val="nil"/>
            </w:tcBorders>
            <w:shd w:val="clear" w:color="auto" w:fill="auto"/>
            <w:noWrap/>
            <w:vAlign w:val="center"/>
            <w:hideMark/>
          </w:tcPr>
          <w:p w14:paraId="26539F15" w14:textId="77777777" w:rsidR="00503847" w:rsidRPr="00E21717" w:rsidRDefault="00503847" w:rsidP="0010288E">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Danske</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710AA76B" w14:textId="11F0A7A5"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1.32</w:t>
            </w:r>
          </w:p>
        </w:tc>
        <w:tc>
          <w:tcPr>
            <w:tcW w:w="2041" w:type="dxa"/>
            <w:tcBorders>
              <w:top w:val="nil"/>
              <w:left w:val="nil"/>
              <w:bottom w:val="nil"/>
              <w:right w:val="nil"/>
            </w:tcBorders>
            <w:shd w:val="clear" w:color="auto" w:fill="auto"/>
            <w:noWrap/>
            <w:vAlign w:val="center"/>
            <w:hideMark/>
          </w:tcPr>
          <w:p w14:paraId="40C595F4" w14:textId="53069330"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1.56</w:t>
            </w:r>
          </w:p>
        </w:tc>
        <w:tc>
          <w:tcPr>
            <w:tcW w:w="1536" w:type="dxa"/>
            <w:tcBorders>
              <w:top w:val="nil"/>
              <w:left w:val="nil"/>
              <w:bottom w:val="nil"/>
              <w:right w:val="nil"/>
            </w:tcBorders>
            <w:shd w:val="clear" w:color="auto" w:fill="auto"/>
            <w:noWrap/>
            <w:vAlign w:val="center"/>
            <w:hideMark/>
          </w:tcPr>
          <w:p w14:paraId="771682A3" w14:textId="763BC06D"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1.46</w:t>
            </w:r>
          </w:p>
        </w:tc>
      </w:tr>
      <w:tr w:rsidR="00503847" w:rsidRPr="00E21717" w14:paraId="5DB3E4E7" w14:textId="77777777" w:rsidTr="0010288E">
        <w:trPr>
          <w:trHeight w:val="302"/>
        </w:trPr>
        <w:tc>
          <w:tcPr>
            <w:tcW w:w="3031" w:type="dxa"/>
            <w:tcBorders>
              <w:top w:val="nil"/>
              <w:left w:val="nil"/>
              <w:bottom w:val="nil"/>
              <w:right w:val="nil"/>
            </w:tcBorders>
            <w:shd w:val="clear" w:color="auto" w:fill="auto"/>
            <w:noWrap/>
            <w:vAlign w:val="center"/>
            <w:hideMark/>
          </w:tcPr>
          <w:p w14:paraId="1ED2105A" w14:textId="77777777" w:rsidR="00503847" w:rsidRPr="00E21717" w:rsidRDefault="00503847" w:rsidP="0010288E">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Deutsche Bank </w:t>
            </w:r>
          </w:p>
        </w:tc>
        <w:tc>
          <w:tcPr>
            <w:tcW w:w="1879" w:type="dxa"/>
            <w:tcBorders>
              <w:top w:val="nil"/>
              <w:left w:val="nil"/>
              <w:bottom w:val="nil"/>
              <w:right w:val="nil"/>
            </w:tcBorders>
            <w:shd w:val="clear" w:color="auto" w:fill="auto"/>
            <w:noWrap/>
            <w:vAlign w:val="center"/>
            <w:hideMark/>
          </w:tcPr>
          <w:p w14:paraId="7BCA1513" w14:textId="61E1FE5E"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1.30</w:t>
            </w:r>
          </w:p>
        </w:tc>
        <w:tc>
          <w:tcPr>
            <w:tcW w:w="2041" w:type="dxa"/>
            <w:tcBorders>
              <w:top w:val="nil"/>
              <w:left w:val="nil"/>
              <w:bottom w:val="nil"/>
              <w:right w:val="nil"/>
            </w:tcBorders>
            <w:shd w:val="clear" w:color="auto" w:fill="auto"/>
            <w:noWrap/>
            <w:vAlign w:val="center"/>
            <w:hideMark/>
          </w:tcPr>
          <w:p w14:paraId="12976594" w14:textId="23025BD9"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1.78</w:t>
            </w:r>
          </w:p>
        </w:tc>
        <w:tc>
          <w:tcPr>
            <w:tcW w:w="1536" w:type="dxa"/>
            <w:tcBorders>
              <w:top w:val="nil"/>
              <w:left w:val="nil"/>
              <w:bottom w:val="nil"/>
              <w:right w:val="nil"/>
            </w:tcBorders>
            <w:shd w:val="clear" w:color="auto" w:fill="auto"/>
            <w:noWrap/>
            <w:vAlign w:val="center"/>
            <w:hideMark/>
          </w:tcPr>
          <w:p w14:paraId="552092FD" w14:textId="012C6A73"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1.60</w:t>
            </w:r>
          </w:p>
        </w:tc>
      </w:tr>
      <w:tr w:rsidR="00503847" w:rsidRPr="00E21717" w14:paraId="23D931D9" w14:textId="77777777" w:rsidTr="0010288E">
        <w:trPr>
          <w:trHeight w:val="302"/>
        </w:trPr>
        <w:tc>
          <w:tcPr>
            <w:tcW w:w="3031" w:type="dxa"/>
            <w:tcBorders>
              <w:top w:val="nil"/>
              <w:left w:val="nil"/>
              <w:bottom w:val="nil"/>
              <w:right w:val="nil"/>
            </w:tcBorders>
            <w:shd w:val="clear" w:color="auto" w:fill="auto"/>
            <w:noWrap/>
            <w:vAlign w:val="center"/>
            <w:hideMark/>
          </w:tcPr>
          <w:p w14:paraId="59614875" w14:textId="77777777" w:rsidR="00503847" w:rsidRPr="00E21717" w:rsidRDefault="00503847" w:rsidP="0010288E">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HSBC Holdings</w:t>
            </w:r>
          </w:p>
        </w:tc>
        <w:tc>
          <w:tcPr>
            <w:tcW w:w="1879" w:type="dxa"/>
            <w:tcBorders>
              <w:top w:val="nil"/>
              <w:left w:val="nil"/>
              <w:bottom w:val="nil"/>
              <w:right w:val="nil"/>
            </w:tcBorders>
            <w:shd w:val="clear" w:color="auto" w:fill="auto"/>
            <w:noWrap/>
            <w:vAlign w:val="center"/>
            <w:hideMark/>
          </w:tcPr>
          <w:p w14:paraId="0425A8D8" w14:textId="29BF2D53"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1.06</w:t>
            </w:r>
          </w:p>
        </w:tc>
        <w:tc>
          <w:tcPr>
            <w:tcW w:w="2041" w:type="dxa"/>
            <w:tcBorders>
              <w:top w:val="nil"/>
              <w:left w:val="nil"/>
              <w:bottom w:val="nil"/>
              <w:right w:val="nil"/>
            </w:tcBorders>
            <w:shd w:val="clear" w:color="auto" w:fill="auto"/>
            <w:noWrap/>
            <w:vAlign w:val="center"/>
            <w:hideMark/>
          </w:tcPr>
          <w:p w14:paraId="33CB0F02" w14:textId="4FC1B4AA"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1.47</w:t>
            </w:r>
          </w:p>
        </w:tc>
        <w:tc>
          <w:tcPr>
            <w:tcW w:w="1536" w:type="dxa"/>
            <w:tcBorders>
              <w:top w:val="nil"/>
              <w:left w:val="nil"/>
              <w:bottom w:val="nil"/>
              <w:right w:val="nil"/>
            </w:tcBorders>
            <w:shd w:val="clear" w:color="auto" w:fill="auto"/>
            <w:noWrap/>
            <w:vAlign w:val="center"/>
            <w:hideMark/>
          </w:tcPr>
          <w:p w14:paraId="100B7D79" w14:textId="2FD9FB96"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1.51</w:t>
            </w:r>
          </w:p>
        </w:tc>
      </w:tr>
      <w:tr w:rsidR="00503847" w:rsidRPr="00E21717" w14:paraId="32AA5D7C" w14:textId="77777777" w:rsidTr="0010288E">
        <w:trPr>
          <w:trHeight w:val="302"/>
        </w:trPr>
        <w:tc>
          <w:tcPr>
            <w:tcW w:w="3031" w:type="dxa"/>
            <w:tcBorders>
              <w:top w:val="nil"/>
              <w:left w:val="nil"/>
              <w:bottom w:val="nil"/>
              <w:right w:val="nil"/>
            </w:tcBorders>
            <w:shd w:val="clear" w:color="auto" w:fill="auto"/>
            <w:noWrap/>
            <w:vAlign w:val="center"/>
            <w:hideMark/>
          </w:tcPr>
          <w:p w14:paraId="5E5A0FB9" w14:textId="77777777" w:rsidR="00503847" w:rsidRPr="00E21717" w:rsidRDefault="00503847" w:rsidP="0010288E">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ING Bank N.V. </w:t>
            </w:r>
          </w:p>
        </w:tc>
        <w:tc>
          <w:tcPr>
            <w:tcW w:w="1879" w:type="dxa"/>
            <w:tcBorders>
              <w:top w:val="nil"/>
              <w:left w:val="nil"/>
              <w:bottom w:val="nil"/>
              <w:right w:val="nil"/>
            </w:tcBorders>
            <w:shd w:val="clear" w:color="auto" w:fill="auto"/>
            <w:noWrap/>
            <w:vAlign w:val="center"/>
            <w:hideMark/>
          </w:tcPr>
          <w:p w14:paraId="401A0765" w14:textId="2E97E978"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1.23</w:t>
            </w:r>
          </w:p>
        </w:tc>
        <w:tc>
          <w:tcPr>
            <w:tcW w:w="2041" w:type="dxa"/>
            <w:tcBorders>
              <w:top w:val="nil"/>
              <w:left w:val="nil"/>
              <w:bottom w:val="nil"/>
              <w:right w:val="nil"/>
            </w:tcBorders>
            <w:shd w:val="clear" w:color="auto" w:fill="auto"/>
            <w:noWrap/>
            <w:vAlign w:val="center"/>
            <w:hideMark/>
          </w:tcPr>
          <w:p w14:paraId="419A89B4" w14:textId="15B8361E"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2.05</w:t>
            </w:r>
          </w:p>
        </w:tc>
        <w:tc>
          <w:tcPr>
            <w:tcW w:w="1536" w:type="dxa"/>
            <w:tcBorders>
              <w:top w:val="nil"/>
              <w:left w:val="nil"/>
              <w:bottom w:val="nil"/>
              <w:right w:val="nil"/>
            </w:tcBorders>
            <w:shd w:val="clear" w:color="auto" w:fill="auto"/>
            <w:noWrap/>
            <w:vAlign w:val="center"/>
            <w:hideMark/>
          </w:tcPr>
          <w:p w14:paraId="60A19A53" w14:textId="76BEA4F2"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1.85</w:t>
            </w:r>
          </w:p>
        </w:tc>
      </w:tr>
      <w:tr w:rsidR="00503847" w:rsidRPr="00E21717" w14:paraId="7836DA7B" w14:textId="77777777" w:rsidTr="0010288E">
        <w:trPr>
          <w:trHeight w:val="302"/>
        </w:trPr>
        <w:tc>
          <w:tcPr>
            <w:tcW w:w="3031" w:type="dxa"/>
            <w:tcBorders>
              <w:top w:val="nil"/>
              <w:left w:val="nil"/>
              <w:bottom w:val="nil"/>
              <w:right w:val="nil"/>
            </w:tcBorders>
            <w:shd w:val="clear" w:color="auto" w:fill="auto"/>
            <w:noWrap/>
            <w:vAlign w:val="center"/>
            <w:hideMark/>
          </w:tcPr>
          <w:p w14:paraId="4CD13723" w14:textId="77777777" w:rsidR="00503847" w:rsidRPr="00E21717" w:rsidRDefault="00503847" w:rsidP="0010288E">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Intesa</w:t>
            </w:r>
            <w:proofErr w:type="spellEnd"/>
            <w:r w:rsidRPr="00E21717">
              <w:rPr>
                <w:rFonts w:ascii="dcr10" w:eastAsia="Times New Roman" w:hAnsi="dcr10" w:cs="Times New Roman"/>
                <w:color w:val="000000"/>
                <w:sz w:val="18"/>
                <w:szCs w:val="18"/>
              </w:rPr>
              <w:t xml:space="preserve"> </w:t>
            </w:r>
            <w:proofErr w:type="spellStart"/>
            <w:r w:rsidRPr="00E21717">
              <w:rPr>
                <w:rFonts w:ascii="dcr10" w:eastAsia="Times New Roman" w:hAnsi="dcr10" w:cs="Times New Roman"/>
                <w:color w:val="000000"/>
                <w:sz w:val="18"/>
                <w:szCs w:val="18"/>
              </w:rPr>
              <w:t>Sanpaolo</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113D126F" w14:textId="1B149331"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1.24</w:t>
            </w:r>
          </w:p>
        </w:tc>
        <w:tc>
          <w:tcPr>
            <w:tcW w:w="2041" w:type="dxa"/>
            <w:tcBorders>
              <w:top w:val="nil"/>
              <w:left w:val="nil"/>
              <w:bottom w:val="nil"/>
              <w:right w:val="nil"/>
            </w:tcBorders>
            <w:shd w:val="clear" w:color="auto" w:fill="auto"/>
            <w:noWrap/>
            <w:vAlign w:val="center"/>
            <w:hideMark/>
          </w:tcPr>
          <w:p w14:paraId="6EF8E232" w14:textId="58716013"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1.72</w:t>
            </w:r>
          </w:p>
        </w:tc>
        <w:tc>
          <w:tcPr>
            <w:tcW w:w="1536" w:type="dxa"/>
            <w:tcBorders>
              <w:top w:val="nil"/>
              <w:left w:val="nil"/>
              <w:bottom w:val="nil"/>
              <w:right w:val="nil"/>
            </w:tcBorders>
            <w:shd w:val="clear" w:color="auto" w:fill="auto"/>
            <w:noWrap/>
            <w:vAlign w:val="center"/>
            <w:hideMark/>
          </w:tcPr>
          <w:p w14:paraId="5D0A8901" w14:textId="21FFF22A"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1.63</w:t>
            </w:r>
          </w:p>
        </w:tc>
      </w:tr>
      <w:tr w:rsidR="00503847" w:rsidRPr="00E21717" w14:paraId="648BF9DE" w14:textId="77777777" w:rsidTr="0010288E">
        <w:trPr>
          <w:trHeight w:val="302"/>
        </w:trPr>
        <w:tc>
          <w:tcPr>
            <w:tcW w:w="3031" w:type="dxa"/>
            <w:tcBorders>
              <w:top w:val="nil"/>
              <w:left w:val="nil"/>
              <w:bottom w:val="nil"/>
              <w:right w:val="nil"/>
            </w:tcBorders>
            <w:shd w:val="clear" w:color="auto" w:fill="auto"/>
            <w:noWrap/>
            <w:vAlign w:val="center"/>
            <w:hideMark/>
          </w:tcPr>
          <w:p w14:paraId="6B6888D5" w14:textId="77777777" w:rsidR="00503847" w:rsidRPr="00E21717" w:rsidRDefault="00503847" w:rsidP="0010288E">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Lloyds Banking Group </w:t>
            </w:r>
          </w:p>
        </w:tc>
        <w:tc>
          <w:tcPr>
            <w:tcW w:w="1879" w:type="dxa"/>
            <w:tcBorders>
              <w:top w:val="nil"/>
              <w:left w:val="nil"/>
              <w:bottom w:val="nil"/>
              <w:right w:val="nil"/>
            </w:tcBorders>
            <w:shd w:val="clear" w:color="auto" w:fill="auto"/>
            <w:noWrap/>
            <w:vAlign w:val="center"/>
            <w:hideMark/>
          </w:tcPr>
          <w:p w14:paraId="24563FCD" w14:textId="0B5F6317"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1.53</w:t>
            </w:r>
          </w:p>
        </w:tc>
        <w:tc>
          <w:tcPr>
            <w:tcW w:w="2041" w:type="dxa"/>
            <w:tcBorders>
              <w:top w:val="nil"/>
              <w:left w:val="nil"/>
              <w:bottom w:val="nil"/>
              <w:right w:val="nil"/>
            </w:tcBorders>
            <w:shd w:val="clear" w:color="auto" w:fill="auto"/>
            <w:noWrap/>
            <w:vAlign w:val="center"/>
            <w:hideMark/>
          </w:tcPr>
          <w:p w14:paraId="1BDA6F05" w14:textId="0D2CA6A9"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2.62</w:t>
            </w:r>
          </w:p>
        </w:tc>
        <w:tc>
          <w:tcPr>
            <w:tcW w:w="1536" w:type="dxa"/>
            <w:tcBorders>
              <w:top w:val="nil"/>
              <w:left w:val="nil"/>
              <w:bottom w:val="nil"/>
              <w:right w:val="nil"/>
            </w:tcBorders>
            <w:shd w:val="clear" w:color="auto" w:fill="auto"/>
            <w:noWrap/>
            <w:vAlign w:val="center"/>
            <w:hideMark/>
          </w:tcPr>
          <w:p w14:paraId="25E1DA9A" w14:textId="797ED92A"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2.19</w:t>
            </w:r>
          </w:p>
        </w:tc>
      </w:tr>
      <w:tr w:rsidR="00503847" w:rsidRPr="00E21717" w14:paraId="63EABF6D" w14:textId="77777777" w:rsidTr="0010288E">
        <w:trPr>
          <w:trHeight w:val="302"/>
        </w:trPr>
        <w:tc>
          <w:tcPr>
            <w:tcW w:w="3031" w:type="dxa"/>
            <w:tcBorders>
              <w:top w:val="nil"/>
              <w:left w:val="nil"/>
              <w:bottom w:val="nil"/>
              <w:right w:val="nil"/>
            </w:tcBorders>
            <w:shd w:val="clear" w:color="auto" w:fill="auto"/>
            <w:noWrap/>
            <w:vAlign w:val="center"/>
            <w:hideMark/>
          </w:tcPr>
          <w:p w14:paraId="68FDB521" w14:textId="77777777" w:rsidR="00503847" w:rsidRPr="00E21717" w:rsidRDefault="00503847" w:rsidP="0010288E">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Mitsubishi Financial Group </w:t>
            </w:r>
          </w:p>
        </w:tc>
        <w:tc>
          <w:tcPr>
            <w:tcW w:w="1879" w:type="dxa"/>
            <w:tcBorders>
              <w:top w:val="nil"/>
              <w:left w:val="nil"/>
              <w:bottom w:val="nil"/>
              <w:right w:val="nil"/>
            </w:tcBorders>
            <w:shd w:val="clear" w:color="auto" w:fill="auto"/>
            <w:noWrap/>
            <w:vAlign w:val="center"/>
            <w:hideMark/>
          </w:tcPr>
          <w:p w14:paraId="681A9A03" w14:textId="0C83E90E"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1.50</w:t>
            </w:r>
          </w:p>
        </w:tc>
        <w:tc>
          <w:tcPr>
            <w:tcW w:w="2041" w:type="dxa"/>
            <w:tcBorders>
              <w:top w:val="nil"/>
              <w:left w:val="nil"/>
              <w:bottom w:val="nil"/>
              <w:right w:val="nil"/>
            </w:tcBorders>
            <w:shd w:val="clear" w:color="auto" w:fill="auto"/>
            <w:noWrap/>
            <w:vAlign w:val="center"/>
            <w:hideMark/>
          </w:tcPr>
          <w:p w14:paraId="5F935BED" w14:textId="4409117F"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1.37</w:t>
            </w:r>
          </w:p>
        </w:tc>
        <w:tc>
          <w:tcPr>
            <w:tcW w:w="1536" w:type="dxa"/>
            <w:tcBorders>
              <w:top w:val="nil"/>
              <w:left w:val="nil"/>
              <w:bottom w:val="nil"/>
              <w:right w:val="nil"/>
            </w:tcBorders>
            <w:shd w:val="clear" w:color="auto" w:fill="auto"/>
            <w:noWrap/>
            <w:vAlign w:val="center"/>
            <w:hideMark/>
          </w:tcPr>
          <w:p w14:paraId="333A7016" w14:textId="3C5B8B4B"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1.19</w:t>
            </w:r>
          </w:p>
        </w:tc>
      </w:tr>
      <w:tr w:rsidR="00503847" w:rsidRPr="00E21717" w14:paraId="2F22322C" w14:textId="77777777" w:rsidTr="0010288E">
        <w:trPr>
          <w:trHeight w:val="302"/>
        </w:trPr>
        <w:tc>
          <w:tcPr>
            <w:tcW w:w="3031" w:type="dxa"/>
            <w:tcBorders>
              <w:top w:val="nil"/>
              <w:left w:val="nil"/>
              <w:bottom w:val="nil"/>
              <w:right w:val="nil"/>
            </w:tcBorders>
            <w:shd w:val="clear" w:color="auto" w:fill="auto"/>
            <w:noWrap/>
            <w:vAlign w:val="center"/>
            <w:hideMark/>
          </w:tcPr>
          <w:p w14:paraId="3FBEA4B8" w14:textId="77777777" w:rsidR="00503847" w:rsidRPr="00E21717" w:rsidRDefault="00503847" w:rsidP="0010288E">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Mizuho Financial Group </w:t>
            </w:r>
          </w:p>
        </w:tc>
        <w:tc>
          <w:tcPr>
            <w:tcW w:w="1879" w:type="dxa"/>
            <w:tcBorders>
              <w:top w:val="nil"/>
              <w:left w:val="nil"/>
              <w:bottom w:val="nil"/>
              <w:right w:val="nil"/>
            </w:tcBorders>
            <w:shd w:val="clear" w:color="auto" w:fill="auto"/>
            <w:noWrap/>
            <w:vAlign w:val="center"/>
            <w:hideMark/>
          </w:tcPr>
          <w:p w14:paraId="0FC204CF" w14:textId="2F5033C3"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1.37</w:t>
            </w:r>
          </w:p>
        </w:tc>
        <w:tc>
          <w:tcPr>
            <w:tcW w:w="2041" w:type="dxa"/>
            <w:tcBorders>
              <w:top w:val="nil"/>
              <w:left w:val="nil"/>
              <w:bottom w:val="nil"/>
              <w:right w:val="nil"/>
            </w:tcBorders>
            <w:shd w:val="clear" w:color="auto" w:fill="auto"/>
            <w:noWrap/>
            <w:vAlign w:val="center"/>
            <w:hideMark/>
          </w:tcPr>
          <w:p w14:paraId="213F2423" w14:textId="7C936198"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1.38</w:t>
            </w:r>
          </w:p>
        </w:tc>
        <w:tc>
          <w:tcPr>
            <w:tcW w:w="1536" w:type="dxa"/>
            <w:tcBorders>
              <w:top w:val="nil"/>
              <w:left w:val="nil"/>
              <w:bottom w:val="nil"/>
              <w:right w:val="nil"/>
            </w:tcBorders>
            <w:shd w:val="clear" w:color="auto" w:fill="auto"/>
            <w:noWrap/>
            <w:vAlign w:val="center"/>
            <w:hideMark/>
          </w:tcPr>
          <w:p w14:paraId="0E5A0944" w14:textId="328914E2"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1.01</w:t>
            </w:r>
          </w:p>
        </w:tc>
      </w:tr>
      <w:tr w:rsidR="00503847" w:rsidRPr="00E21717" w14:paraId="316D395D" w14:textId="77777777" w:rsidTr="0010288E">
        <w:trPr>
          <w:trHeight w:val="302"/>
        </w:trPr>
        <w:tc>
          <w:tcPr>
            <w:tcW w:w="3031" w:type="dxa"/>
            <w:tcBorders>
              <w:top w:val="nil"/>
              <w:left w:val="nil"/>
              <w:bottom w:val="nil"/>
              <w:right w:val="nil"/>
            </w:tcBorders>
            <w:shd w:val="clear" w:color="auto" w:fill="auto"/>
            <w:noWrap/>
            <w:vAlign w:val="center"/>
            <w:hideMark/>
          </w:tcPr>
          <w:p w14:paraId="4DEB8BDD" w14:textId="77777777" w:rsidR="00503847" w:rsidRPr="00E21717" w:rsidRDefault="00503847" w:rsidP="0010288E">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Natixis</w:t>
            </w:r>
            <w:proofErr w:type="spellEnd"/>
          </w:p>
        </w:tc>
        <w:tc>
          <w:tcPr>
            <w:tcW w:w="1879" w:type="dxa"/>
            <w:tcBorders>
              <w:top w:val="nil"/>
              <w:left w:val="nil"/>
              <w:bottom w:val="nil"/>
              <w:right w:val="nil"/>
            </w:tcBorders>
            <w:shd w:val="clear" w:color="auto" w:fill="auto"/>
            <w:noWrap/>
            <w:vAlign w:val="center"/>
            <w:hideMark/>
          </w:tcPr>
          <w:p w14:paraId="60617ADE" w14:textId="2BBF3FE1" w:rsidR="00503847" w:rsidRPr="00371459" w:rsidRDefault="008E3E4F" w:rsidP="0010288E">
            <w:pPr>
              <w:jc w:val="center"/>
              <w:rPr>
                <w:rFonts w:ascii="dcr10" w:eastAsia="Times New Roman" w:hAnsi="dcr10" w:cs="Times New Roman"/>
                <w:color w:val="000000"/>
                <w:sz w:val="18"/>
                <w:szCs w:val="18"/>
              </w:rPr>
            </w:pPr>
            <w:r>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16B391D5" w14:textId="417C51B1"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2.14</w:t>
            </w:r>
          </w:p>
        </w:tc>
        <w:tc>
          <w:tcPr>
            <w:tcW w:w="1536" w:type="dxa"/>
            <w:tcBorders>
              <w:top w:val="nil"/>
              <w:left w:val="nil"/>
              <w:bottom w:val="nil"/>
              <w:right w:val="nil"/>
            </w:tcBorders>
            <w:shd w:val="clear" w:color="auto" w:fill="auto"/>
            <w:noWrap/>
            <w:vAlign w:val="center"/>
            <w:hideMark/>
          </w:tcPr>
          <w:p w14:paraId="01EE6389" w14:textId="3759427E"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1.98</w:t>
            </w:r>
          </w:p>
        </w:tc>
      </w:tr>
      <w:tr w:rsidR="00503847" w:rsidRPr="00E21717" w14:paraId="48A2BFB1" w14:textId="77777777" w:rsidTr="0010288E">
        <w:trPr>
          <w:trHeight w:val="282"/>
        </w:trPr>
        <w:tc>
          <w:tcPr>
            <w:tcW w:w="3031" w:type="dxa"/>
            <w:tcBorders>
              <w:top w:val="nil"/>
              <w:left w:val="nil"/>
              <w:bottom w:val="nil"/>
              <w:right w:val="nil"/>
            </w:tcBorders>
            <w:shd w:val="clear" w:color="auto" w:fill="auto"/>
            <w:noWrap/>
            <w:vAlign w:val="center"/>
            <w:hideMark/>
          </w:tcPr>
          <w:p w14:paraId="463E8046" w14:textId="77777777" w:rsidR="00503847" w:rsidRPr="00E21717" w:rsidRDefault="00503847" w:rsidP="0010288E">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National Australia Bank </w:t>
            </w:r>
          </w:p>
        </w:tc>
        <w:tc>
          <w:tcPr>
            <w:tcW w:w="1879" w:type="dxa"/>
            <w:tcBorders>
              <w:top w:val="nil"/>
              <w:left w:val="nil"/>
              <w:bottom w:val="nil"/>
              <w:right w:val="nil"/>
            </w:tcBorders>
            <w:shd w:val="clear" w:color="auto" w:fill="auto"/>
            <w:noWrap/>
            <w:vAlign w:val="center"/>
            <w:hideMark/>
          </w:tcPr>
          <w:p w14:paraId="66CBE5F4" w14:textId="312CE90C"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1.11</w:t>
            </w:r>
          </w:p>
        </w:tc>
        <w:tc>
          <w:tcPr>
            <w:tcW w:w="2041" w:type="dxa"/>
            <w:tcBorders>
              <w:top w:val="nil"/>
              <w:left w:val="nil"/>
              <w:bottom w:val="nil"/>
              <w:right w:val="nil"/>
            </w:tcBorders>
            <w:shd w:val="clear" w:color="auto" w:fill="auto"/>
            <w:noWrap/>
            <w:vAlign w:val="center"/>
            <w:hideMark/>
          </w:tcPr>
          <w:p w14:paraId="3741AA64" w14:textId="72228E95"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1.47</w:t>
            </w:r>
          </w:p>
        </w:tc>
        <w:tc>
          <w:tcPr>
            <w:tcW w:w="1536" w:type="dxa"/>
            <w:tcBorders>
              <w:top w:val="nil"/>
              <w:left w:val="nil"/>
              <w:bottom w:val="nil"/>
              <w:right w:val="nil"/>
            </w:tcBorders>
            <w:shd w:val="clear" w:color="auto" w:fill="auto"/>
            <w:noWrap/>
            <w:vAlign w:val="center"/>
            <w:hideMark/>
          </w:tcPr>
          <w:p w14:paraId="6D32959E" w14:textId="418D189E"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1.43</w:t>
            </w:r>
          </w:p>
        </w:tc>
      </w:tr>
      <w:tr w:rsidR="00503847" w:rsidRPr="00E21717" w14:paraId="6AFF2F10" w14:textId="77777777" w:rsidTr="0010288E">
        <w:trPr>
          <w:trHeight w:val="302"/>
        </w:trPr>
        <w:tc>
          <w:tcPr>
            <w:tcW w:w="3031" w:type="dxa"/>
            <w:tcBorders>
              <w:top w:val="nil"/>
              <w:left w:val="nil"/>
              <w:bottom w:val="nil"/>
              <w:right w:val="nil"/>
            </w:tcBorders>
            <w:shd w:val="clear" w:color="auto" w:fill="auto"/>
            <w:noWrap/>
            <w:vAlign w:val="center"/>
            <w:hideMark/>
          </w:tcPr>
          <w:p w14:paraId="26A0B55B" w14:textId="77777777" w:rsidR="00503847" w:rsidRPr="00E21717" w:rsidRDefault="00503847" w:rsidP="0010288E">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Nordea</w:t>
            </w:r>
            <w:proofErr w:type="spellEnd"/>
            <w:r w:rsidRPr="00E21717">
              <w:rPr>
                <w:rFonts w:ascii="dcr10" w:eastAsia="Times New Roman" w:hAnsi="dcr10" w:cs="Times New Roman"/>
                <w:color w:val="000000"/>
                <w:sz w:val="18"/>
                <w:szCs w:val="18"/>
              </w:rPr>
              <w:t xml:space="preserve"> Bank </w:t>
            </w:r>
          </w:p>
        </w:tc>
        <w:tc>
          <w:tcPr>
            <w:tcW w:w="1879" w:type="dxa"/>
            <w:tcBorders>
              <w:top w:val="nil"/>
              <w:left w:val="nil"/>
              <w:bottom w:val="nil"/>
              <w:right w:val="nil"/>
            </w:tcBorders>
            <w:shd w:val="clear" w:color="auto" w:fill="auto"/>
            <w:noWrap/>
            <w:vAlign w:val="center"/>
            <w:hideMark/>
          </w:tcPr>
          <w:p w14:paraId="7E5A258B" w14:textId="36869E62"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1.38</w:t>
            </w:r>
          </w:p>
        </w:tc>
        <w:tc>
          <w:tcPr>
            <w:tcW w:w="2041" w:type="dxa"/>
            <w:tcBorders>
              <w:top w:val="nil"/>
              <w:left w:val="nil"/>
              <w:bottom w:val="nil"/>
              <w:right w:val="nil"/>
            </w:tcBorders>
            <w:shd w:val="clear" w:color="auto" w:fill="auto"/>
            <w:noWrap/>
            <w:vAlign w:val="center"/>
            <w:hideMark/>
          </w:tcPr>
          <w:p w14:paraId="635F3C41" w14:textId="477E2F47"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1.32</w:t>
            </w:r>
          </w:p>
        </w:tc>
        <w:tc>
          <w:tcPr>
            <w:tcW w:w="1536" w:type="dxa"/>
            <w:tcBorders>
              <w:top w:val="nil"/>
              <w:left w:val="nil"/>
              <w:bottom w:val="nil"/>
              <w:right w:val="nil"/>
            </w:tcBorders>
            <w:shd w:val="clear" w:color="auto" w:fill="auto"/>
            <w:noWrap/>
            <w:vAlign w:val="center"/>
            <w:hideMark/>
          </w:tcPr>
          <w:p w14:paraId="57978611" w14:textId="6BF66F13"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1.29</w:t>
            </w:r>
          </w:p>
        </w:tc>
      </w:tr>
      <w:tr w:rsidR="00503847" w:rsidRPr="00E21717" w14:paraId="786D1622" w14:textId="77777777" w:rsidTr="0010288E">
        <w:trPr>
          <w:trHeight w:val="302"/>
        </w:trPr>
        <w:tc>
          <w:tcPr>
            <w:tcW w:w="3031" w:type="dxa"/>
            <w:tcBorders>
              <w:top w:val="nil"/>
              <w:left w:val="nil"/>
              <w:bottom w:val="nil"/>
              <w:right w:val="nil"/>
            </w:tcBorders>
            <w:shd w:val="clear" w:color="auto" w:fill="auto"/>
            <w:noWrap/>
            <w:vAlign w:val="center"/>
            <w:hideMark/>
          </w:tcPr>
          <w:p w14:paraId="5ABD6070" w14:textId="77777777" w:rsidR="00503847" w:rsidRPr="00E21717" w:rsidRDefault="00503847" w:rsidP="0010288E">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Bank of Nova Scotia</w:t>
            </w:r>
          </w:p>
        </w:tc>
        <w:tc>
          <w:tcPr>
            <w:tcW w:w="1879" w:type="dxa"/>
            <w:tcBorders>
              <w:top w:val="nil"/>
              <w:left w:val="nil"/>
              <w:bottom w:val="nil"/>
              <w:right w:val="nil"/>
            </w:tcBorders>
            <w:shd w:val="clear" w:color="auto" w:fill="auto"/>
            <w:noWrap/>
            <w:vAlign w:val="center"/>
            <w:hideMark/>
          </w:tcPr>
          <w:p w14:paraId="2E298A9F" w14:textId="1C964D34"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1.28</w:t>
            </w:r>
          </w:p>
        </w:tc>
        <w:tc>
          <w:tcPr>
            <w:tcW w:w="2041" w:type="dxa"/>
            <w:tcBorders>
              <w:top w:val="nil"/>
              <w:left w:val="nil"/>
              <w:bottom w:val="nil"/>
              <w:right w:val="nil"/>
            </w:tcBorders>
            <w:shd w:val="clear" w:color="auto" w:fill="auto"/>
            <w:noWrap/>
            <w:vAlign w:val="center"/>
            <w:hideMark/>
          </w:tcPr>
          <w:p w14:paraId="0AB7B8C0" w14:textId="4BFB7D46"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1.22</w:t>
            </w:r>
          </w:p>
        </w:tc>
        <w:tc>
          <w:tcPr>
            <w:tcW w:w="1536" w:type="dxa"/>
            <w:tcBorders>
              <w:top w:val="nil"/>
              <w:left w:val="nil"/>
              <w:bottom w:val="nil"/>
              <w:right w:val="nil"/>
            </w:tcBorders>
            <w:shd w:val="clear" w:color="auto" w:fill="auto"/>
            <w:noWrap/>
            <w:vAlign w:val="center"/>
            <w:hideMark/>
          </w:tcPr>
          <w:p w14:paraId="45376010" w14:textId="4C653CFD"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1.22</w:t>
            </w:r>
          </w:p>
        </w:tc>
      </w:tr>
      <w:tr w:rsidR="00503847" w:rsidRPr="00E21717" w14:paraId="00B405B3" w14:textId="77777777" w:rsidTr="0010288E">
        <w:trPr>
          <w:trHeight w:val="302"/>
        </w:trPr>
        <w:tc>
          <w:tcPr>
            <w:tcW w:w="3031" w:type="dxa"/>
            <w:tcBorders>
              <w:top w:val="nil"/>
              <w:left w:val="nil"/>
              <w:bottom w:val="nil"/>
              <w:right w:val="nil"/>
            </w:tcBorders>
            <w:shd w:val="clear" w:color="auto" w:fill="auto"/>
            <w:noWrap/>
            <w:vAlign w:val="center"/>
            <w:hideMark/>
          </w:tcPr>
          <w:p w14:paraId="0BF70BC5" w14:textId="77777777" w:rsidR="00503847" w:rsidRPr="00E21717" w:rsidRDefault="00503847" w:rsidP="0010288E">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Royal Bank of Canada </w:t>
            </w:r>
          </w:p>
        </w:tc>
        <w:tc>
          <w:tcPr>
            <w:tcW w:w="1879" w:type="dxa"/>
            <w:tcBorders>
              <w:top w:val="nil"/>
              <w:left w:val="nil"/>
              <w:bottom w:val="nil"/>
              <w:right w:val="nil"/>
            </w:tcBorders>
            <w:shd w:val="clear" w:color="auto" w:fill="auto"/>
            <w:noWrap/>
            <w:vAlign w:val="center"/>
            <w:hideMark/>
          </w:tcPr>
          <w:p w14:paraId="1F8B29F5" w14:textId="58F978DC"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1.31</w:t>
            </w:r>
          </w:p>
        </w:tc>
        <w:tc>
          <w:tcPr>
            <w:tcW w:w="2041" w:type="dxa"/>
            <w:tcBorders>
              <w:top w:val="nil"/>
              <w:left w:val="nil"/>
              <w:bottom w:val="nil"/>
              <w:right w:val="nil"/>
            </w:tcBorders>
            <w:shd w:val="clear" w:color="auto" w:fill="auto"/>
            <w:noWrap/>
            <w:vAlign w:val="center"/>
            <w:hideMark/>
          </w:tcPr>
          <w:p w14:paraId="38D567FB" w14:textId="7E2BE067"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1.31</w:t>
            </w:r>
          </w:p>
        </w:tc>
        <w:tc>
          <w:tcPr>
            <w:tcW w:w="1536" w:type="dxa"/>
            <w:tcBorders>
              <w:top w:val="nil"/>
              <w:left w:val="nil"/>
              <w:bottom w:val="nil"/>
              <w:right w:val="nil"/>
            </w:tcBorders>
            <w:shd w:val="clear" w:color="auto" w:fill="auto"/>
            <w:noWrap/>
            <w:vAlign w:val="center"/>
            <w:hideMark/>
          </w:tcPr>
          <w:p w14:paraId="6E02E910" w14:textId="05CCC277"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1.27</w:t>
            </w:r>
          </w:p>
        </w:tc>
      </w:tr>
      <w:tr w:rsidR="00503847" w:rsidRPr="00E21717" w14:paraId="47B50788" w14:textId="77777777" w:rsidTr="0010288E">
        <w:trPr>
          <w:trHeight w:val="302"/>
        </w:trPr>
        <w:tc>
          <w:tcPr>
            <w:tcW w:w="3031" w:type="dxa"/>
            <w:tcBorders>
              <w:top w:val="nil"/>
              <w:left w:val="nil"/>
              <w:bottom w:val="nil"/>
              <w:right w:val="nil"/>
            </w:tcBorders>
            <w:shd w:val="clear" w:color="auto" w:fill="auto"/>
            <w:noWrap/>
            <w:vAlign w:val="center"/>
            <w:hideMark/>
          </w:tcPr>
          <w:p w14:paraId="154B534F" w14:textId="77777777" w:rsidR="00503847" w:rsidRPr="00E21717" w:rsidRDefault="00503847" w:rsidP="0010288E">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Royal Bank of Scotland </w:t>
            </w:r>
          </w:p>
        </w:tc>
        <w:tc>
          <w:tcPr>
            <w:tcW w:w="1879" w:type="dxa"/>
            <w:tcBorders>
              <w:top w:val="nil"/>
              <w:left w:val="nil"/>
              <w:bottom w:val="nil"/>
              <w:right w:val="nil"/>
            </w:tcBorders>
            <w:shd w:val="clear" w:color="auto" w:fill="auto"/>
            <w:noWrap/>
            <w:vAlign w:val="center"/>
            <w:hideMark/>
          </w:tcPr>
          <w:p w14:paraId="05C7C8C8" w14:textId="63025568" w:rsidR="00503847" w:rsidRPr="00371459" w:rsidRDefault="008E3E4F" w:rsidP="0010288E">
            <w:pPr>
              <w:jc w:val="center"/>
              <w:rPr>
                <w:rFonts w:ascii="dcr10" w:eastAsia="Times New Roman" w:hAnsi="dcr10" w:cs="Times New Roman"/>
                <w:color w:val="000000"/>
                <w:sz w:val="18"/>
                <w:szCs w:val="18"/>
              </w:rPr>
            </w:pPr>
            <w:r>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5C6E5FC8" w14:textId="3FBD8FFE"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2.89</w:t>
            </w:r>
          </w:p>
        </w:tc>
        <w:tc>
          <w:tcPr>
            <w:tcW w:w="1536" w:type="dxa"/>
            <w:tcBorders>
              <w:top w:val="nil"/>
              <w:left w:val="nil"/>
              <w:bottom w:val="nil"/>
              <w:right w:val="nil"/>
            </w:tcBorders>
            <w:shd w:val="clear" w:color="auto" w:fill="auto"/>
            <w:noWrap/>
            <w:vAlign w:val="center"/>
            <w:hideMark/>
          </w:tcPr>
          <w:p w14:paraId="115D69EB" w14:textId="733FD901"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2.91</w:t>
            </w:r>
          </w:p>
        </w:tc>
      </w:tr>
      <w:tr w:rsidR="00503847" w:rsidRPr="00E21717" w14:paraId="31C5FA49" w14:textId="77777777" w:rsidTr="0010288E">
        <w:trPr>
          <w:trHeight w:val="302"/>
        </w:trPr>
        <w:tc>
          <w:tcPr>
            <w:tcW w:w="3031" w:type="dxa"/>
            <w:tcBorders>
              <w:top w:val="nil"/>
              <w:left w:val="nil"/>
              <w:bottom w:val="nil"/>
              <w:right w:val="nil"/>
            </w:tcBorders>
            <w:shd w:val="clear" w:color="auto" w:fill="auto"/>
            <w:noWrap/>
            <w:vAlign w:val="center"/>
            <w:hideMark/>
          </w:tcPr>
          <w:p w14:paraId="06EEB7DD" w14:textId="77777777" w:rsidR="00503847" w:rsidRPr="00E21717" w:rsidRDefault="00503847" w:rsidP="0010288E">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Banco</w:t>
            </w:r>
            <w:proofErr w:type="spellEnd"/>
            <w:r w:rsidRPr="00E21717">
              <w:rPr>
                <w:rFonts w:ascii="dcr10" w:eastAsia="Times New Roman" w:hAnsi="dcr10" w:cs="Times New Roman"/>
                <w:color w:val="000000"/>
                <w:sz w:val="18"/>
                <w:szCs w:val="18"/>
              </w:rPr>
              <w:t xml:space="preserve"> Santander</w:t>
            </w:r>
          </w:p>
        </w:tc>
        <w:tc>
          <w:tcPr>
            <w:tcW w:w="1879" w:type="dxa"/>
            <w:tcBorders>
              <w:top w:val="nil"/>
              <w:left w:val="nil"/>
              <w:bottom w:val="nil"/>
              <w:right w:val="nil"/>
            </w:tcBorders>
            <w:shd w:val="clear" w:color="auto" w:fill="auto"/>
            <w:noWrap/>
            <w:vAlign w:val="center"/>
            <w:hideMark/>
          </w:tcPr>
          <w:p w14:paraId="0F104964" w14:textId="71B95BED"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1.34</w:t>
            </w:r>
          </w:p>
        </w:tc>
        <w:tc>
          <w:tcPr>
            <w:tcW w:w="2041" w:type="dxa"/>
            <w:tcBorders>
              <w:top w:val="nil"/>
              <w:left w:val="nil"/>
              <w:bottom w:val="nil"/>
              <w:right w:val="nil"/>
            </w:tcBorders>
            <w:shd w:val="clear" w:color="auto" w:fill="auto"/>
            <w:noWrap/>
            <w:vAlign w:val="center"/>
            <w:hideMark/>
          </w:tcPr>
          <w:p w14:paraId="7EDC4C54" w14:textId="398980A8"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1.42</w:t>
            </w:r>
          </w:p>
        </w:tc>
        <w:tc>
          <w:tcPr>
            <w:tcW w:w="1536" w:type="dxa"/>
            <w:tcBorders>
              <w:top w:val="nil"/>
              <w:left w:val="nil"/>
              <w:bottom w:val="nil"/>
              <w:right w:val="nil"/>
            </w:tcBorders>
            <w:shd w:val="clear" w:color="auto" w:fill="auto"/>
            <w:noWrap/>
            <w:vAlign w:val="center"/>
            <w:hideMark/>
          </w:tcPr>
          <w:p w14:paraId="64692BE6" w14:textId="65ADCBD8"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1.31</w:t>
            </w:r>
          </w:p>
        </w:tc>
      </w:tr>
      <w:tr w:rsidR="00503847" w:rsidRPr="00E21717" w14:paraId="2C862E29" w14:textId="77777777" w:rsidTr="0010288E">
        <w:trPr>
          <w:trHeight w:val="302"/>
        </w:trPr>
        <w:tc>
          <w:tcPr>
            <w:tcW w:w="3031" w:type="dxa"/>
            <w:tcBorders>
              <w:top w:val="nil"/>
              <w:left w:val="nil"/>
              <w:bottom w:val="nil"/>
              <w:right w:val="nil"/>
            </w:tcBorders>
            <w:shd w:val="clear" w:color="auto" w:fill="auto"/>
            <w:noWrap/>
            <w:vAlign w:val="center"/>
            <w:hideMark/>
          </w:tcPr>
          <w:p w14:paraId="131F934C" w14:textId="77777777" w:rsidR="00503847" w:rsidRPr="00E21717" w:rsidRDefault="00503847" w:rsidP="0010288E">
            <w:pPr>
              <w:rPr>
                <w:rFonts w:ascii="dcr10" w:eastAsia="Times New Roman" w:hAnsi="dcr10" w:cs="Times New Roman"/>
                <w:color w:val="000000"/>
                <w:sz w:val="17"/>
                <w:szCs w:val="17"/>
              </w:rPr>
            </w:pPr>
            <w:proofErr w:type="spellStart"/>
            <w:r w:rsidRPr="00E21717">
              <w:rPr>
                <w:rFonts w:ascii="dcr10" w:eastAsia="Times New Roman" w:hAnsi="dcr10" w:cs="Times New Roman"/>
                <w:bCs/>
                <w:color w:val="000000"/>
                <w:sz w:val="18"/>
                <w:szCs w:val="18"/>
              </w:rPr>
              <w:t>Societe</w:t>
            </w:r>
            <w:proofErr w:type="spellEnd"/>
            <w:r w:rsidRPr="00E21717">
              <w:rPr>
                <w:rFonts w:ascii="dcr10" w:eastAsia="Times New Roman" w:hAnsi="dcr10" w:cs="Times New Roman"/>
                <w:bCs/>
                <w:color w:val="000000"/>
                <w:sz w:val="18"/>
                <w:szCs w:val="18"/>
              </w:rPr>
              <w:t xml:space="preserve"> </w:t>
            </w:r>
            <w:proofErr w:type="spellStart"/>
            <w:r w:rsidRPr="00E21717">
              <w:rPr>
                <w:rFonts w:ascii="dcr10" w:eastAsia="Times New Roman" w:hAnsi="dcr10" w:cs="Times New Roman"/>
                <w:bCs/>
                <w:color w:val="000000"/>
                <w:sz w:val="18"/>
                <w:szCs w:val="18"/>
              </w:rPr>
              <w:t>Generale</w:t>
            </w:r>
            <w:proofErr w:type="spellEnd"/>
            <w:r w:rsidRPr="00E21717">
              <w:rPr>
                <w:rFonts w:ascii="dcr10" w:eastAsia="Times New Roman" w:hAnsi="dcr10" w:cs="Times New Roman"/>
                <w:bCs/>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3D6276BE" w14:textId="33F14636"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1.41</w:t>
            </w:r>
          </w:p>
        </w:tc>
        <w:tc>
          <w:tcPr>
            <w:tcW w:w="2041" w:type="dxa"/>
            <w:tcBorders>
              <w:top w:val="nil"/>
              <w:left w:val="nil"/>
              <w:bottom w:val="nil"/>
              <w:right w:val="nil"/>
            </w:tcBorders>
            <w:shd w:val="clear" w:color="auto" w:fill="auto"/>
            <w:noWrap/>
            <w:vAlign w:val="center"/>
            <w:hideMark/>
          </w:tcPr>
          <w:p w14:paraId="05723058" w14:textId="4E43A014"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2.19</w:t>
            </w:r>
          </w:p>
        </w:tc>
        <w:tc>
          <w:tcPr>
            <w:tcW w:w="1536" w:type="dxa"/>
            <w:tcBorders>
              <w:top w:val="nil"/>
              <w:left w:val="nil"/>
              <w:bottom w:val="nil"/>
              <w:right w:val="nil"/>
            </w:tcBorders>
            <w:shd w:val="clear" w:color="auto" w:fill="auto"/>
            <w:noWrap/>
            <w:vAlign w:val="center"/>
            <w:hideMark/>
          </w:tcPr>
          <w:p w14:paraId="08B540DE" w14:textId="4BBBD144"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2.02</w:t>
            </w:r>
          </w:p>
        </w:tc>
      </w:tr>
      <w:tr w:rsidR="00503847" w:rsidRPr="00E21717" w14:paraId="4F74A813" w14:textId="77777777" w:rsidTr="0010288E">
        <w:trPr>
          <w:trHeight w:val="302"/>
        </w:trPr>
        <w:tc>
          <w:tcPr>
            <w:tcW w:w="3031" w:type="dxa"/>
            <w:tcBorders>
              <w:top w:val="nil"/>
              <w:left w:val="nil"/>
              <w:bottom w:val="nil"/>
              <w:right w:val="nil"/>
            </w:tcBorders>
            <w:shd w:val="clear" w:color="auto" w:fill="auto"/>
            <w:noWrap/>
            <w:vAlign w:val="center"/>
            <w:hideMark/>
          </w:tcPr>
          <w:p w14:paraId="32A5A680" w14:textId="77777777" w:rsidR="00503847" w:rsidRPr="00E21717" w:rsidRDefault="00503847" w:rsidP="0010288E">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Standered</w:t>
            </w:r>
            <w:proofErr w:type="spellEnd"/>
            <w:r w:rsidRPr="00E21717">
              <w:rPr>
                <w:rFonts w:ascii="dcr10" w:eastAsia="Times New Roman" w:hAnsi="dcr10" w:cs="Times New Roman"/>
                <w:color w:val="000000"/>
                <w:sz w:val="18"/>
                <w:szCs w:val="18"/>
              </w:rPr>
              <w:t xml:space="preserve"> Chartered </w:t>
            </w:r>
          </w:p>
        </w:tc>
        <w:tc>
          <w:tcPr>
            <w:tcW w:w="1879" w:type="dxa"/>
            <w:tcBorders>
              <w:top w:val="nil"/>
              <w:left w:val="nil"/>
              <w:bottom w:val="nil"/>
              <w:right w:val="nil"/>
            </w:tcBorders>
            <w:shd w:val="clear" w:color="auto" w:fill="auto"/>
            <w:noWrap/>
            <w:vAlign w:val="center"/>
            <w:hideMark/>
          </w:tcPr>
          <w:p w14:paraId="17F13A8B" w14:textId="2DEBFC37"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1.79</w:t>
            </w:r>
          </w:p>
        </w:tc>
        <w:tc>
          <w:tcPr>
            <w:tcW w:w="2041" w:type="dxa"/>
            <w:tcBorders>
              <w:top w:val="nil"/>
              <w:left w:val="nil"/>
              <w:bottom w:val="nil"/>
              <w:right w:val="nil"/>
            </w:tcBorders>
            <w:shd w:val="clear" w:color="auto" w:fill="auto"/>
            <w:noWrap/>
            <w:vAlign w:val="center"/>
            <w:hideMark/>
          </w:tcPr>
          <w:p w14:paraId="1C5FA942" w14:textId="0B49C696"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1.94</w:t>
            </w:r>
          </w:p>
        </w:tc>
        <w:tc>
          <w:tcPr>
            <w:tcW w:w="1536" w:type="dxa"/>
            <w:tcBorders>
              <w:top w:val="nil"/>
              <w:left w:val="nil"/>
              <w:bottom w:val="nil"/>
              <w:right w:val="nil"/>
            </w:tcBorders>
            <w:shd w:val="clear" w:color="auto" w:fill="auto"/>
            <w:noWrap/>
            <w:vAlign w:val="center"/>
            <w:hideMark/>
          </w:tcPr>
          <w:p w14:paraId="1CED1CC0" w14:textId="6C75A487"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2.02</w:t>
            </w:r>
          </w:p>
        </w:tc>
      </w:tr>
      <w:tr w:rsidR="00503847" w:rsidRPr="00E21717" w14:paraId="5C497225" w14:textId="77777777" w:rsidTr="0010288E">
        <w:trPr>
          <w:trHeight w:val="302"/>
        </w:trPr>
        <w:tc>
          <w:tcPr>
            <w:tcW w:w="3031" w:type="dxa"/>
            <w:tcBorders>
              <w:top w:val="nil"/>
              <w:left w:val="nil"/>
              <w:bottom w:val="nil"/>
              <w:right w:val="nil"/>
            </w:tcBorders>
            <w:shd w:val="clear" w:color="auto" w:fill="auto"/>
            <w:noWrap/>
            <w:vAlign w:val="center"/>
            <w:hideMark/>
          </w:tcPr>
          <w:p w14:paraId="4960AED4" w14:textId="77777777" w:rsidR="00503847" w:rsidRPr="00E21717" w:rsidRDefault="00503847" w:rsidP="0010288E">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Sumitomo Mitsui Financial </w:t>
            </w:r>
          </w:p>
        </w:tc>
        <w:tc>
          <w:tcPr>
            <w:tcW w:w="1879" w:type="dxa"/>
            <w:tcBorders>
              <w:top w:val="nil"/>
              <w:left w:val="nil"/>
              <w:bottom w:val="nil"/>
              <w:right w:val="nil"/>
            </w:tcBorders>
            <w:shd w:val="clear" w:color="auto" w:fill="auto"/>
            <w:noWrap/>
            <w:vAlign w:val="center"/>
            <w:hideMark/>
          </w:tcPr>
          <w:p w14:paraId="1D1FD143" w14:textId="5D415038"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1.65</w:t>
            </w:r>
          </w:p>
        </w:tc>
        <w:tc>
          <w:tcPr>
            <w:tcW w:w="2041" w:type="dxa"/>
            <w:tcBorders>
              <w:top w:val="nil"/>
              <w:left w:val="nil"/>
              <w:bottom w:val="nil"/>
              <w:right w:val="nil"/>
            </w:tcBorders>
            <w:shd w:val="clear" w:color="auto" w:fill="auto"/>
            <w:noWrap/>
            <w:vAlign w:val="center"/>
            <w:hideMark/>
          </w:tcPr>
          <w:p w14:paraId="68ABAD70" w14:textId="3E5D03C8"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1.39</w:t>
            </w:r>
          </w:p>
        </w:tc>
        <w:tc>
          <w:tcPr>
            <w:tcW w:w="1536" w:type="dxa"/>
            <w:tcBorders>
              <w:top w:val="nil"/>
              <w:left w:val="nil"/>
              <w:bottom w:val="nil"/>
              <w:right w:val="nil"/>
            </w:tcBorders>
            <w:shd w:val="clear" w:color="auto" w:fill="auto"/>
            <w:noWrap/>
            <w:vAlign w:val="center"/>
            <w:hideMark/>
          </w:tcPr>
          <w:p w14:paraId="1D298113" w14:textId="421A841E"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1.22</w:t>
            </w:r>
          </w:p>
        </w:tc>
      </w:tr>
      <w:tr w:rsidR="00503847" w:rsidRPr="00E21717" w14:paraId="0E6053DD" w14:textId="77777777" w:rsidTr="0010288E">
        <w:trPr>
          <w:trHeight w:val="302"/>
        </w:trPr>
        <w:tc>
          <w:tcPr>
            <w:tcW w:w="3031" w:type="dxa"/>
            <w:tcBorders>
              <w:top w:val="nil"/>
              <w:left w:val="nil"/>
              <w:bottom w:val="nil"/>
              <w:right w:val="nil"/>
            </w:tcBorders>
            <w:shd w:val="clear" w:color="auto" w:fill="auto"/>
            <w:noWrap/>
            <w:vAlign w:val="center"/>
            <w:hideMark/>
          </w:tcPr>
          <w:p w14:paraId="08ACD0C8" w14:textId="77777777" w:rsidR="00503847" w:rsidRPr="00E21717" w:rsidRDefault="00503847" w:rsidP="0010288E">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Toronto-</w:t>
            </w:r>
            <w:proofErr w:type="spellStart"/>
            <w:r w:rsidRPr="00E21717">
              <w:rPr>
                <w:rFonts w:ascii="dcr10" w:eastAsia="Times New Roman" w:hAnsi="dcr10" w:cs="Times New Roman"/>
                <w:color w:val="000000"/>
                <w:sz w:val="18"/>
                <w:szCs w:val="18"/>
              </w:rPr>
              <w:t>Dominon</w:t>
            </w:r>
            <w:proofErr w:type="spellEnd"/>
            <w:r w:rsidRPr="00E21717">
              <w:rPr>
                <w:rFonts w:ascii="dcr10" w:eastAsia="Times New Roman" w:hAnsi="dcr10" w:cs="Times New Roman"/>
                <w:color w:val="000000"/>
                <w:sz w:val="18"/>
                <w:szCs w:val="18"/>
              </w:rPr>
              <w:t xml:space="preserve"> Group </w:t>
            </w:r>
          </w:p>
        </w:tc>
        <w:tc>
          <w:tcPr>
            <w:tcW w:w="1879" w:type="dxa"/>
            <w:tcBorders>
              <w:top w:val="nil"/>
              <w:left w:val="nil"/>
              <w:bottom w:val="nil"/>
              <w:right w:val="nil"/>
            </w:tcBorders>
            <w:shd w:val="clear" w:color="auto" w:fill="auto"/>
            <w:noWrap/>
            <w:vAlign w:val="center"/>
            <w:hideMark/>
          </w:tcPr>
          <w:p w14:paraId="68D24C3D" w14:textId="3D2886C7"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1.18</w:t>
            </w:r>
          </w:p>
        </w:tc>
        <w:tc>
          <w:tcPr>
            <w:tcW w:w="2041" w:type="dxa"/>
            <w:tcBorders>
              <w:top w:val="nil"/>
              <w:left w:val="nil"/>
              <w:bottom w:val="nil"/>
              <w:right w:val="nil"/>
            </w:tcBorders>
            <w:shd w:val="clear" w:color="auto" w:fill="auto"/>
            <w:noWrap/>
            <w:vAlign w:val="center"/>
            <w:hideMark/>
          </w:tcPr>
          <w:p w14:paraId="66C3BA37" w14:textId="352C7265"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1.17</w:t>
            </w:r>
          </w:p>
        </w:tc>
        <w:tc>
          <w:tcPr>
            <w:tcW w:w="1536" w:type="dxa"/>
            <w:tcBorders>
              <w:top w:val="nil"/>
              <w:left w:val="nil"/>
              <w:bottom w:val="nil"/>
              <w:right w:val="nil"/>
            </w:tcBorders>
            <w:shd w:val="clear" w:color="auto" w:fill="auto"/>
            <w:noWrap/>
            <w:vAlign w:val="center"/>
            <w:hideMark/>
          </w:tcPr>
          <w:p w14:paraId="7DCBCC0F" w14:textId="7AF6B2E1"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1.15</w:t>
            </w:r>
          </w:p>
        </w:tc>
      </w:tr>
      <w:tr w:rsidR="00503847" w:rsidRPr="00E21717" w14:paraId="3F771BB6" w14:textId="77777777" w:rsidTr="0010288E">
        <w:trPr>
          <w:trHeight w:val="302"/>
        </w:trPr>
        <w:tc>
          <w:tcPr>
            <w:tcW w:w="3031" w:type="dxa"/>
            <w:tcBorders>
              <w:top w:val="nil"/>
              <w:left w:val="nil"/>
              <w:bottom w:val="nil"/>
              <w:right w:val="nil"/>
            </w:tcBorders>
            <w:shd w:val="clear" w:color="auto" w:fill="auto"/>
            <w:noWrap/>
            <w:vAlign w:val="center"/>
            <w:hideMark/>
          </w:tcPr>
          <w:p w14:paraId="207DF4DE" w14:textId="77777777" w:rsidR="00503847" w:rsidRPr="00E21717" w:rsidRDefault="00503847" w:rsidP="0010288E">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UBS Group AG </w:t>
            </w:r>
          </w:p>
        </w:tc>
        <w:tc>
          <w:tcPr>
            <w:tcW w:w="1879" w:type="dxa"/>
            <w:tcBorders>
              <w:top w:val="nil"/>
              <w:left w:val="nil"/>
              <w:bottom w:val="nil"/>
              <w:right w:val="nil"/>
            </w:tcBorders>
            <w:shd w:val="clear" w:color="auto" w:fill="auto"/>
            <w:noWrap/>
            <w:vAlign w:val="center"/>
            <w:hideMark/>
          </w:tcPr>
          <w:p w14:paraId="1B27A93D" w14:textId="35C5FF76"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1.23</w:t>
            </w:r>
          </w:p>
        </w:tc>
        <w:tc>
          <w:tcPr>
            <w:tcW w:w="2041" w:type="dxa"/>
            <w:tcBorders>
              <w:top w:val="nil"/>
              <w:left w:val="nil"/>
              <w:bottom w:val="nil"/>
              <w:right w:val="nil"/>
            </w:tcBorders>
            <w:shd w:val="clear" w:color="auto" w:fill="auto"/>
            <w:noWrap/>
            <w:vAlign w:val="center"/>
            <w:hideMark/>
          </w:tcPr>
          <w:p w14:paraId="5B9452AA" w14:textId="37E6168C"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2.19</w:t>
            </w:r>
          </w:p>
        </w:tc>
        <w:tc>
          <w:tcPr>
            <w:tcW w:w="1536" w:type="dxa"/>
            <w:tcBorders>
              <w:top w:val="nil"/>
              <w:left w:val="nil"/>
              <w:bottom w:val="nil"/>
              <w:right w:val="nil"/>
            </w:tcBorders>
            <w:shd w:val="clear" w:color="auto" w:fill="auto"/>
            <w:noWrap/>
            <w:vAlign w:val="center"/>
            <w:hideMark/>
          </w:tcPr>
          <w:p w14:paraId="643424DD" w14:textId="6460F874"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1.93</w:t>
            </w:r>
          </w:p>
        </w:tc>
      </w:tr>
      <w:tr w:rsidR="00503847" w:rsidRPr="00E21717" w14:paraId="3C500B2B" w14:textId="77777777" w:rsidTr="0010288E">
        <w:trPr>
          <w:trHeight w:val="302"/>
        </w:trPr>
        <w:tc>
          <w:tcPr>
            <w:tcW w:w="3031" w:type="dxa"/>
            <w:tcBorders>
              <w:top w:val="nil"/>
              <w:left w:val="nil"/>
              <w:bottom w:val="nil"/>
              <w:right w:val="nil"/>
            </w:tcBorders>
            <w:shd w:val="clear" w:color="auto" w:fill="auto"/>
            <w:noWrap/>
            <w:vAlign w:val="center"/>
            <w:hideMark/>
          </w:tcPr>
          <w:p w14:paraId="576EDE65" w14:textId="77777777" w:rsidR="00503847" w:rsidRPr="00E21717" w:rsidRDefault="00503847" w:rsidP="0010288E">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UniCredit</w:t>
            </w:r>
            <w:proofErr w:type="spellEnd"/>
            <w:r w:rsidRPr="00E21717">
              <w:rPr>
                <w:rFonts w:ascii="dcr10" w:eastAsia="Times New Roman" w:hAnsi="dcr10" w:cs="Times New Roman"/>
                <w:color w:val="000000"/>
                <w:sz w:val="18"/>
                <w:szCs w:val="18"/>
              </w:rPr>
              <w:t xml:space="preserve"> </w:t>
            </w:r>
            <w:proofErr w:type="spellStart"/>
            <w:r w:rsidRPr="00E21717">
              <w:rPr>
                <w:rFonts w:ascii="dcr10" w:eastAsia="Times New Roman" w:hAnsi="dcr10" w:cs="Times New Roman"/>
                <w:color w:val="000000"/>
                <w:sz w:val="18"/>
                <w:szCs w:val="18"/>
              </w:rPr>
              <w:t>S.p.A</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5356BB42" w14:textId="20D4B6B5"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1.21</w:t>
            </w:r>
          </w:p>
        </w:tc>
        <w:tc>
          <w:tcPr>
            <w:tcW w:w="2041" w:type="dxa"/>
            <w:tcBorders>
              <w:top w:val="nil"/>
              <w:left w:val="nil"/>
              <w:bottom w:val="nil"/>
              <w:right w:val="nil"/>
            </w:tcBorders>
            <w:shd w:val="clear" w:color="auto" w:fill="auto"/>
            <w:noWrap/>
            <w:vAlign w:val="center"/>
            <w:hideMark/>
          </w:tcPr>
          <w:p w14:paraId="415AA267" w14:textId="26C67A99"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1.84</w:t>
            </w:r>
          </w:p>
        </w:tc>
        <w:tc>
          <w:tcPr>
            <w:tcW w:w="1536" w:type="dxa"/>
            <w:tcBorders>
              <w:top w:val="nil"/>
              <w:left w:val="nil"/>
              <w:bottom w:val="nil"/>
              <w:right w:val="nil"/>
            </w:tcBorders>
            <w:shd w:val="clear" w:color="auto" w:fill="auto"/>
            <w:noWrap/>
            <w:vAlign w:val="center"/>
            <w:hideMark/>
          </w:tcPr>
          <w:p w14:paraId="4D151193" w14:textId="62B46423"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1.68</w:t>
            </w:r>
          </w:p>
        </w:tc>
      </w:tr>
      <w:tr w:rsidR="00503847" w:rsidRPr="00E21717" w14:paraId="51B4D51C" w14:textId="77777777" w:rsidTr="0010288E">
        <w:trPr>
          <w:trHeight w:val="302"/>
        </w:trPr>
        <w:tc>
          <w:tcPr>
            <w:tcW w:w="3031" w:type="dxa"/>
            <w:tcBorders>
              <w:top w:val="nil"/>
              <w:left w:val="nil"/>
              <w:bottom w:val="nil"/>
              <w:right w:val="nil"/>
            </w:tcBorders>
            <w:shd w:val="clear" w:color="auto" w:fill="auto"/>
            <w:noWrap/>
            <w:vAlign w:val="center"/>
            <w:hideMark/>
          </w:tcPr>
          <w:p w14:paraId="65C9577F" w14:textId="77777777" w:rsidR="00503847" w:rsidRPr="00E21717" w:rsidRDefault="00503847" w:rsidP="0010288E">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Westpac Banking </w:t>
            </w:r>
          </w:p>
        </w:tc>
        <w:tc>
          <w:tcPr>
            <w:tcW w:w="1879" w:type="dxa"/>
            <w:tcBorders>
              <w:top w:val="nil"/>
              <w:left w:val="nil"/>
              <w:bottom w:val="nil"/>
              <w:right w:val="nil"/>
            </w:tcBorders>
            <w:shd w:val="clear" w:color="auto" w:fill="auto"/>
            <w:noWrap/>
            <w:vAlign w:val="center"/>
            <w:hideMark/>
          </w:tcPr>
          <w:p w14:paraId="782E8C09" w14:textId="01C3C21F"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1.10</w:t>
            </w:r>
          </w:p>
        </w:tc>
        <w:tc>
          <w:tcPr>
            <w:tcW w:w="2041" w:type="dxa"/>
            <w:tcBorders>
              <w:top w:val="nil"/>
              <w:left w:val="nil"/>
              <w:bottom w:val="nil"/>
              <w:right w:val="nil"/>
            </w:tcBorders>
            <w:shd w:val="clear" w:color="auto" w:fill="auto"/>
            <w:noWrap/>
            <w:vAlign w:val="center"/>
            <w:hideMark/>
          </w:tcPr>
          <w:p w14:paraId="2CBF1A80" w14:textId="45D05E71"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1.47</w:t>
            </w:r>
          </w:p>
        </w:tc>
        <w:tc>
          <w:tcPr>
            <w:tcW w:w="1536" w:type="dxa"/>
            <w:tcBorders>
              <w:top w:val="nil"/>
              <w:left w:val="nil"/>
              <w:bottom w:val="nil"/>
              <w:right w:val="nil"/>
            </w:tcBorders>
            <w:shd w:val="clear" w:color="auto" w:fill="auto"/>
            <w:noWrap/>
            <w:vAlign w:val="center"/>
            <w:hideMark/>
          </w:tcPr>
          <w:p w14:paraId="3A686343" w14:textId="6B4DC326" w:rsidR="00503847" w:rsidRPr="00371459" w:rsidRDefault="00503847" w:rsidP="0010288E">
            <w:pPr>
              <w:jc w:val="center"/>
              <w:rPr>
                <w:rFonts w:ascii="dcr10" w:eastAsia="Times New Roman" w:hAnsi="dcr10" w:cs="Times New Roman"/>
                <w:color w:val="000000"/>
                <w:sz w:val="18"/>
                <w:szCs w:val="18"/>
              </w:rPr>
            </w:pPr>
            <w:r w:rsidRPr="00503847">
              <w:rPr>
                <w:rFonts w:ascii="dcr10" w:eastAsia="Times New Roman" w:hAnsi="dcr10" w:cs="Times New Roman"/>
                <w:color w:val="000000"/>
                <w:sz w:val="18"/>
                <w:szCs w:val="18"/>
              </w:rPr>
              <w:t>1.47</w:t>
            </w:r>
          </w:p>
        </w:tc>
      </w:tr>
      <w:tr w:rsidR="00503847" w:rsidRPr="00E21717" w14:paraId="11A97B52" w14:textId="77777777" w:rsidTr="0010288E">
        <w:trPr>
          <w:trHeight w:val="302"/>
        </w:trPr>
        <w:tc>
          <w:tcPr>
            <w:tcW w:w="3031" w:type="dxa"/>
            <w:tcBorders>
              <w:top w:val="nil"/>
              <w:left w:val="nil"/>
              <w:bottom w:val="nil"/>
              <w:right w:val="nil"/>
            </w:tcBorders>
            <w:shd w:val="clear" w:color="auto" w:fill="auto"/>
            <w:noWrap/>
            <w:vAlign w:val="center"/>
            <w:hideMark/>
          </w:tcPr>
          <w:p w14:paraId="21606FDC" w14:textId="77777777" w:rsidR="00503847" w:rsidRPr="00371459" w:rsidRDefault="00503847" w:rsidP="0010288E">
            <w:pPr>
              <w:rPr>
                <w:rFonts w:ascii="dcr10" w:eastAsia="Times New Roman" w:hAnsi="dcr10" w:cs="Times New Roman"/>
                <w:i/>
                <w:color w:val="000000"/>
                <w:sz w:val="17"/>
                <w:szCs w:val="17"/>
              </w:rPr>
            </w:pPr>
            <w:r w:rsidRPr="00371459">
              <w:rPr>
                <w:rFonts w:ascii="dcr10" w:eastAsia="Times New Roman" w:hAnsi="dcr10" w:cs="Times New Roman"/>
                <w:i/>
                <w:color w:val="000000"/>
                <w:sz w:val="18"/>
                <w:szCs w:val="18"/>
              </w:rPr>
              <w:t>Mean</w:t>
            </w:r>
          </w:p>
        </w:tc>
        <w:tc>
          <w:tcPr>
            <w:tcW w:w="1879" w:type="dxa"/>
            <w:tcBorders>
              <w:top w:val="nil"/>
              <w:left w:val="nil"/>
              <w:bottom w:val="nil"/>
              <w:right w:val="nil"/>
            </w:tcBorders>
            <w:shd w:val="clear" w:color="auto" w:fill="auto"/>
            <w:noWrap/>
            <w:vAlign w:val="center"/>
            <w:hideMark/>
          </w:tcPr>
          <w:p w14:paraId="0BB018DA" w14:textId="2953FB45" w:rsidR="00503847" w:rsidRPr="00503847" w:rsidRDefault="00503847" w:rsidP="0010288E">
            <w:pPr>
              <w:jc w:val="center"/>
              <w:rPr>
                <w:rFonts w:ascii="dcr10" w:eastAsia="Times New Roman" w:hAnsi="dcr10" w:cs="Times New Roman"/>
                <w:i/>
                <w:color w:val="000000"/>
                <w:sz w:val="18"/>
                <w:szCs w:val="18"/>
              </w:rPr>
            </w:pPr>
            <w:r w:rsidRPr="00503847">
              <w:rPr>
                <w:rFonts w:ascii="dcr10" w:eastAsia="Times New Roman" w:hAnsi="dcr10" w:cs="Times New Roman"/>
                <w:i/>
                <w:color w:val="000000"/>
                <w:sz w:val="18"/>
                <w:szCs w:val="18"/>
              </w:rPr>
              <w:t>1.43</w:t>
            </w:r>
          </w:p>
        </w:tc>
        <w:tc>
          <w:tcPr>
            <w:tcW w:w="2041" w:type="dxa"/>
            <w:tcBorders>
              <w:top w:val="nil"/>
              <w:left w:val="nil"/>
              <w:bottom w:val="nil"/>
              <w:right w:val="nil"/>
            </w:tcBorders>
            <w:shd w:val="clear" w:color="auto" w:fill="auto"/>
            <w:noWrap/>
            <w:vAlign w:val="center"/>
            <w:hideMark/>
          </w:tcPr>
          <w:p w14:paraId="7DB61312" w14:textId="29236D54" w:rsidR="00503847" w:rsidRPr="00503847" w:rsidRDefault="00503847" w:rsidP="0010288E">
            <w:pPr>
              <w:jc w:val="center"/>
              <w:rPr>
                <w:rFonts w:ascii="dcr10" w:eastAsia="Times New Roman" w:hAnsi="dcr10" w:cs="Times New Roman"/>
                <w:i/>
                <w:color w:val="000000"/>
                <w:sz w:val="18"/>
                <w:szCs w:val="18"/>
              </w:rPr>
            </w:pPr>
            <w:r w:rsidRPr="00503847">
              <w:rPr>
                <w:rFonts w:ascii="dcr10" w:eastAsia="Times New Roman" w:hAnsi="dcr10" w:cs="Times New Roman"/>
                <w:i/>
                <w:color w:val="000000"/>
                <w:sz w:val="18"/>
                <w:szCs w:val="18"/>
              </w:rPr>
              <w:t>1.77</w:t>
            </w:r>
          </w:p>
        </w:tc>
        <w:tc>
          <w:tcPr>
            <w:tcW w:w="1536" w:type="dxa"/>
            <w:tcBorders>
              <w:top w:val="nil"/>
              <w:left w:val="nil"/>
              <w:bottom w:val="nil"/>
              <w:right w:val="nil"/>
            </w:tcBorders>
            <w:shd w:val="clear" w:color="auto" w:fill="auto"/>
            <w:noWrap/>
            <w:vAlign w:val="center"/>
            <w:hideMark/>
          </w:tcPr>
          <w:p w14:paraId="4D069C5D" w14:textId="5CFE26D6" w:rsidR="00503847" w:rsidRPr="00503847" w:rsidRDefault="00503847" w:rsidP="0010288E">
            <w:pPr>
              <w:jc w:val="center"/>
              <w:rPr>
                <w:rFonts w:ascii="dcr10" w:eastAsia="Times New Roman" w:hAnsi="dcr10" w:cs="Times New Roman"/>
                <w:i/>
                <w:color w:val="000000"/>
                <w:sz w:val="18"/>
                <w:szCs w:val="18"/>
              </w:rPr>
            </w:pPr>
            <w:r w:rsidRPr="00503847">
              <w:rPr>
                <w:rFonts w:ascii="dcr10" w:eastAsia="Times New Roman" w:hAnsi="dcr10" w:cs="Times New Roman"/>
                <w:i/>
                <w:color w:val="000000"/>
                <w:sz w:val="18"/>
                <w:szCs w:val="18"/>
              </w:rPr>
              <w:t>1.67</w:t>
            </w:r>
          </w:p>
        </w:tc>
      </w:tr>
      <w:tr w:rsidR="00503847" w:rsidRPr="00E21717" w14:paraId="3ABB3718" w14:textId="77777777" w:rsidTr="0010288E">
        <w:trPr>
          <w:trHeight w:val="302"/>
        </w:trPr>
        <w:tc>
          <w:tcPr>
            <w:tcW w:w="3031" w:type="dxa"/>
            <w:tcBorders>
              <w:top w:val="nil"/>
              <w:left w:val="nil"/>
              <w:bottom w:val="nil"/>
              <w:right w:val="nil"/>
            </w:tcBorders>
            <w:shd w:val="clear" w:color="auto" w:fill="auto"/>
            <w:noWrap/>
            <w:vAlign w:val="center"/>
            <w:hideMark/>
          </w:tcPr>
          <w:p w14:paraId="2DECC2F8" w14:textId="77777777" w:rsidR="00503847" w:rsidRPr="00371459" w:rsidRDefault="00503847" w:rsidP="0010288E">
            <w:pPr>
              <w:rPr>
                <w:rFonts w:ascii="dcr10" w:eastAsia="Times New Roman" w:hAnsi="dcr10" w:cs="Times New Roman"/>
                <w:i/>
                <w:color w:val="000000"/>
                <w:sz w:val="17"/>
                <w:szCs w:val="17"/>
              </w:rPr>
            </w:pPr>
            <w:r w:rsidRPr="00371459">
              <w:rPr>
                <w:rFonts w:ascii="dcr10" w:eastAsia="Times New Roman" w:hAnsi="dcr10" w:cs="Times New Roman"/>
                <w:bCs/>
                <w:i/>
                <w:color w:val="000000"/>
                <w:sz w:val="18"/>
                <w:szCs w:val="18"/>
              </w:rPr>
              <w:t>Median</w:t>
            </w:r>
          </w:p>
        </w:tc>
        <w:tc>
          <w:tcPr>
            <w:tcW w:w="1879" w:type="dxa"/>
            <w:tcBorders>
              <w:top w:val="nil"/>
              <w:left w:val="nil"/>
              <w:bottom w:val="nil"/>
              <w:right w:val="nil"/>
            </w:tcBorders>
            <w:shd w:val="clear" w:color="auto" w:fill="auto"/>
            <w:noWrap/>
            <w:vAlign w:val="center"/>
            <w:hideMark/>
          </w:tcPr>
          <w:p w14:paraId="6F007730" w14:textId="18212551" w:rsidR="00503847" w:rsidRPr="00503847" w:rsidRDefault="00503847" w:rsidP="0010288E">
            <w:pPr>
              <w:jc w:val="center"/>
              <w:rPr>
                <w:rFonts w:ascii="dcr10" w:eastAsia="Times New Roman" w:hAnsi="dcr10" w:cs="Times New Roman"/>
                <w:i/>
                <w:color w:val="000000"/>
                <w:sz w:val="18"/>
                <w:szCs w:val="18"/>
              </w:rPr>
            </w:pPr>
            <w:r w:rsidRPr="00503847">
              <w:rPr>
                <w:rFonts w:ascii="dcr10" w:eastAsia="Times New Roman" w:hAnsi="dcr10" w:cs="Times New Roman"/>
                <w:i/>
                <w:color w:val="000000"/>
                <w:sz w:val="18"/>
                <w:szCs w:val="18"/>
              </w:rPr>
              <w:t>1.33</w:t>
            </w:r>
          </w:p>
        </w:tc>
        <w:tc>
          <w:tcPr>
            <w:tcW w:w="2041" w:type="dxa"/>
            <w:tcBorders>
              <w:top w:val="nil"/>
              <w:left w:val="nil"/>
              <w:bottom w:val="nil"/>
              <w:right w:val="nil"/>
            </w:tcBorders>
            <w:shd w:val="clear" w:color="auto" w:fill="auto"/>
            <w:noWrap/>
            <w:vAlign w:val="center"/>
            <w:hideMark/>
          </w:tcPr>
          <w:p w14:paraId="7FE95722" w14:textId="7F7B8E29" w:rsidR="00503847" w:rsidRPr="00503847" w:rsidRDefault="00503847" w:rsidP="0010288E">
            <w:pPr>
              <w:jc w:val="center"/>
              <w:rPr>
                <w:rFonts w:ascii="dcr10" w:eastAsia="Times New Roman" w:hAnsi="dcr10" w:cs="Times New Roman"/>
                <w:i/>
                <w:color w:val="000000"/>
                <w:sz w:val="18"/>
                <w:szCs w:val="18"/>
              </w:rPr>
            </w:pPr>
            <w:r w:rsidRPr="00503847">
              <w:rPr>
                <w:rFonts w:ascii="dcr10" w:eastAsia="Times New Roman" w:hAnsi="dcr10" w:cs="Times New Roman"/>
                <w:i/>
                <w:color w:val="000000"/>
                <w:sz w:val="18"/>
                <w:szCs w:val="18"/>
              </w:rPr>
              <w:t>1.64</w:t>
            </w:r>
          </w:p>
        </w:tc>
        <w:tc>
          <w:tcPr>
            <w:tcW w:w="1536" w:type="dxa"/>
            <w:tcBorders>
              <w:top w:val="nil"/>
              <w:left w:val="nil"/>
              <w:bottom w:val="nil"/>
              <w:right w:val="nil"/>
            </w:tcBorders>
            <w:shd w:val="clear" w:color="auto" w:fill="auto"/>
            <w:noWrap/>
            <w:vAlign w:val="center"/>
            <w:hideMark/>
          </w:tcPr>
          <w:p w14:paraId="35C0A65E" w14:textId="24B9BD43" w:rsidR="00503847" w:rsidRPr="00503847" w:rsidRDefault="00503847" w:rsidP="0010288E">
            <w:pPr>
              <w:jc w:val="center"/>
              <w:rPr>
                <w:rFonts w:ascii="dcr10" w:eastAsia="Times New Roman" w:hAnsi="dcr10" w:cs="Times New Roman"/>
                <w:i/>
                <w:color w:val="000000"/>
                <w:sz w:val="18"/>
                <w:szCs w:val="18"/>
              </w:rPr>
            </w:pPr>
            <w:r w:rsidRPr="00503847">
              <w:rPr>
                <w:rFonts w:ascii="dcr10" w:eastAsia="Times New Roman" w:hAnsi="dcr10" w:cs="Times New Roman"/>
                <w:i/>
                <w:color w:val="000000"/>
                <w:sz w:val="18"/>
                <w:szCs w:val="18"/>
              </w:rPr>
              <w:t>1.61</w:t>
            </w:r>
          </w:p>
        </w:tc>
      </w:tr>
      <w:tr w:rsidR="00503847" w:rsidRPr="00E21717" w14:paraId="187018D6" w14:textId="77777777" w:rsidTr="0040107F">
        <w:trPr>
          <w:trHeight w:val="302"/>
        </w:trPr>
        <w:tc>
          <w:tcPr>
            <w:tcW w:w="3031" w:type="dxa"/>
            <w:tcBorders>
              <w:top w:val="nil"/>
              <w:left w:val="nil"/>
              <w:bottom w:val="nil"/>
              <w:right w:val="nil"/>
            </w:tcBorders>
            <w:shd w:val="clear" w:color="auto" w:fill="auto"/>
            <w:noWrap/>
            <w:vAlign w:val="bottom"/>
            <w:hideMark/>
          </w:tcPr>
          <w:p w14:paraId="3B3D707B" w14:textId="77777777" w:rsidR="00503847" w:rsidRPr="00E21717" w:rsidRDefault="00503847" w:rsidP="0040107F">
            <w:pPr>
              <w:rPr>
                <w:rFonts w:ascii="dcr10" w:eastAsia="Times New Roman" w:hAnsi="dcr10" w:cs="Times New Roman"/>
                <w:i/>
                <w:iCs/>
                <w:color w:val="000000"/>
                <w:sz w:val="17"/>
                <w:szCs w:val="17"/>
              </w:rPr>
            </w:pPr>
            <w:r w:rsidRPr="00E21717">
              <w:rPr>
                <w:rFonts w:ascii="dcr10" w:eastAsia="Times New Roman" w:hAnsi="dcr10" w:cs="Times New Roman"/>
                <w:i/>
                <w:iCs/>
                <w:color w:val="0000FF"/>
                <w:sz w:val="18"/>
                <w:szCs w:val="18"/>
              </w:rPr>
              <w:t xml:space="preserve">Big 6 </w:t>
            </w:r>
            <w:r>
              <w:rPr>
                <w:rFonts w:ascii="dcr10" w:eastAsia="Times New Roman" w:hAnsi="dcr10" w:cs="Times New Roman"/>
                <w:i/>
                <w:iCs/>
                <w:color w:val="0000FF"/>
                <w:sz w:val="18"/>
                <w:szCs w:val="18"/>
              </w:rPr>
              <w:t>Mean</w:t>
            </w:r>
            <w:r w:rsidRPr="00E21717">
              <w:rPr>
                <w:rFonts w:ascii="dcr10" w:eastAsia="Times New Roman" w:hAnsi="dcr10" w:cs="Times New Roman"/>
                <w:i/>
                <w:iCs/>
                <w:color w:val="0000FF"/>
                <w:sz w:val="18"/>
                <w:szCs w:val="18"/>
              </w:rPr>
              <w:t xml:space="preserve"> </w:t>
            </w:r>
          </w:p>
        </w:tc>
        <w:tc>
          <w:tcPr>
            <w:tcW w:w="1879" w:type="dxa"/>
            <w:tcBorders>
              <w:top w:val="nil"/>
              <w:left w:val="nil"/>
              <w:bottom w:val="nil"/>
              <w:right w:val="nil"/>
            </w:tcBorders>
            <w:shd w:val="clear" w:color="auto" w:fill="auto"/>
            <w:noWrap/>
            <w:vAlign w:val="bottom"/>
            <w:hideMark/>
          </w:tcPr>
          <w:p w14:paraId="3F10F394" w14:textId="14575C3E" w:rsidR="00503847" w:rsidRPr="00E21717" w:rsidRDefault="00B2774E" w:rsidP="0040107F">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1.60</w:t>
            </w:r>
          </w:p>
        </w:tc>
        <w:tc>
          <w:tcPr>
            <w:tcW w:w="2041" w:type="dxa"/>
            <w:tcBorders>
              <w:top w:val="nil"/>
              <w:left w:val="nil"/>
              <w:bottom w:val="nil"/>
              <w:right w:val="nil"/>
            </w:tcBorders>
            <w:shd w:val="clear" w:color="auto" w:fill="auto"/>
            <w:noWrap/>
            <w:vAlign w:val="bottom"/>
            <w:hideMark/>
          </w:tcPr>
          <w:p w14:paraId="085D46E4" w14:textId="5357FB9E" w:rsidR="00503847" w:rsidRPr="00E21717" w:rsidRDefault="00B2774E" w:rsidP="0040107F">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2.01</w:t>
            </w:r>
          </w:p>
        </w:tc>
        <w:tc>
          <w:tcPr>
            <w:tcW w:w="1536" w:type="dxa"/>
            <w:tcBorders>
              <w:top w:val="nil"/>
              <w:left w:val="nil"/>
              <w:bottom w:val="nil"/>
              <w:right w:val="nil"/>
            </w:tcBorders>
            <w:shd w:val="clear" w:color="auto" w:fill="auto"/>
            <w:noWrap/>
            <w:vAlign w:val="bottom"/>
            <w:hideMark/>
          </w:tcPr>
          <w:p w14:paraId="7D754F4C" w14:textId="0CD39351" w:rsidR="00503847" w:rsidRPr="00E21717" w:rsidRDefault="00B2774E" w:rsidP="0040107F">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1.66</w:t>
            </w:r>
          </w:p>
        </w:tc>
      </w:tr>
      <w:tr w:rsidR="00503847" w:rsidRPr="00E21717" w14:paraId="4F4F70A6" w14:textId="77777777" w:rsidTr="0040107F">
        <w:trPr>
          <w:trHeight w:val="302"/>
        </w:trPr>
        <w:tc>
          <w:tcPr>
            <w:tcW w:w="3031" w:type="dxa"/>
            <w:tcBorders>
              <w:top w:val="nil"/>
              <w:left w:val="nil"/>
              <w:bottom w:val="nil"/>
              <w:right w:val="nil"/>
            </w:tcBorders>
            <w:shd w:val="clear" w:color="auto" w:fill="auto"/>
            <w:noWrap/>
            <w:vAlign w:val="bottom"/>
            <w:hideMark/>
          </w:tcPr>
          <w:p w14:paraId="1F7597E5" w14:textId="77777777" w:rsidR="00503847" w:rsidRPr="00E21717" w:rsidRDefault="00503847" w:rsidP="0040107F">
            <w:pPr>
              <w:rPr>
                <w:rFonts w:ascii="dcr10" w:eastAsia="Times New Roman" w:hAnsi="dcr10" w:cs="Times New Roman"/>
                <w:i/>
                <w:iCs/>
                <w:color w:val="000000"/>
                <w:sz w:val="17"/>
                <w:szCs w:val="17"/>
              </w:rPr>
            </w:pPr>
            <w:r w:rsidRPr="00E21717">
              <w:rPr>
                <w:rFonts w:ascii="dcr10" w:eastAsia="Times New Roman" w:hAnsi="dcr10" w:cs="Times New Roman"/>
                <w:i/>
                <w:iCs/>
                <w:color w:val="0000FF"/>
                <w:sz w:val="18"/>
                <w:szCs w:val="18"/>
              </w:rPr>
              <w:t xml:space="preserve">Big 6 </w:t>
            </w:r>
            <w:r>
              <w:rPr>
                <w:rFonts w:ascii="dcr10" w:eastAsia="Times New Roman" w:hAnsi="dcr10" w:cs="Times New Roman"/>
                <w:i/>
                <w:iCs/>
                <w:color w:val="0000FF"/>
                <w:sz w:val="18"/>
                <w:szCs w:val="18"/>
              </w:rPr>
              <w:t>Median</w:t>
            </w:r>
            <w:r w:rsidRPr="00E21717">
              <w:rPr>
                <w:rFonts w:ascii="dcr10" w:eastAsia="Times New Roman" w:hAnsi="dcr10" w:cs="Times New Roman"/>
                <w:i/>
                <w:iCs/>
                <w:color w:val="0000FF"/>
                <w:sz w:val="18"/>
                <w:szCs w:val="18"/>
              </w:rPr>
              <w:t xml:space="preserve"> </w:t>
            </w:r>
          </w:p>
        </w:tc>
        <w:tc>
          <w:tcPr>
            <w:tcW w:w="1879" w:type="dxa"/>
            <w:tcBorders>
              <w:top w:val="nil"/>
              <w:left w:val="nil"/>
              <w:bottom w:val="nil"/>
              <w:right w:val="nil"/>
            </w:tcBorders>
            <w:shd w:val="clear" w:color="auto" w:fill="auto"/>
            <w:noWrap/>
            <w:vAlign w:val="bottom"/>
            <w:hideMark/>
          </w:tcPr>
          <w:p w14:paraId="7D50F0F9" w14:textId="18DA7359" w:rsidR="00503847" w:rsidRPr="00E21717" w:rsidRDefault="00B2774E" w:rsidP="0040107F">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1.62</w:t>
            </w:r>
          </w:p>
        </w:tc>
        <w:tc>
          <w:tcPr>
            <w:tcW w:w="2041" w:type="dxa"/>
            <w:tcBorders>
              <w:top w:val="nil"/>
              <w:left w:val="nil"/>
              <w:bottom w:val="nil"/>
              <w:right w:val="nil"/>
            </w:tcBorders>
            <w:shd w:val="clear" w:color="auto" w:fill="auto"/>
            <w:noWrap/>
            <w:vAlign w:val="bottom"/>
            <w:hideMark/>
          </w:tcPr>
          <w:p w14:paraId="253976EC" w14:textId="68AD2382" w:rsidR="00503847" w:rsidRPr="00E21717" w:rsidRDefault="00B2774E" w:rsidP="0040107F">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2.01</w:t>
            </w:r>
          </w:p>
        </w:tc>
        <w:tc>
          <w:tcPr>
            <w:tcW w:w="1536" w:type="dxa"/>
            <w:tcBorders>
              <w:top w:val="nil"/>
              <w:left w:val="nil"/>
              <w:bottom w:val="nil"/>
              <w:right w:val="nil"/>
            </w:tcBorders>
            <w:shd w:val="clear" w:color="auto" w:fill="auto"/>
            <w:noWrap/>
            <w:vAlign w:val="bottom"/>
            <w:hideMark/>
          </w:tcPr>
          <w:p w14:paraId="2893F5F5" w14:textId="63532CEA" w:rsidR="00503847" w:rsidRPr="00E21717" w:rsidRDefault="00B2774E" w:rsidP="0040107F">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1.69</w:t>
            </w:r>
          </w:p>
        </w:tc>
      </w:tr>
    </w:tbl>
    <w:p w14:paraId="25F06F0B" w14:textId="77777777" w:rsidR="0064379B" w:rsidRDefault="0064379B" w:rsidP="0040107F">
      <w:pPr>
        <w:rPr>
          <w:rFonts w:ascii="dcr10" w:eastAsia="Times New Roman" w:hAnsi="dcr10" w:cs="Times New Roman"/>
          <w:i/>
          <w:iCs/>
          <w:color w:val="0000FF"/>
          <w:sz w:val="18"/>
          <w:szCs w:val="18"/>
        </w:rPr>
        <w:sectPr w:rsidR="0064379B" w:rsidSect="00170627">
          <w:pgSz w:w="12240" w:h="15840"/>
          <w:pgMar w:top="1296" w:right="1296" w:bottom="1296" w:left="1296" w:header="720" w:footer="720" w:gutter="0"/>
          <w:cols w:space="720"/>
          <w:docGrid w:linePitch="360"/>
        </w:sectPr>
      </w:pPr>
    </w:p>
    <w:tbl>
      <w:tblPr>
        <w:tblpPr w:leftFromText="180" w:rightFromText="180" w:vertAnchor="page" w:horzAnchor="page" w:tblpX="1909" w:tblpY="3241"/>
        <w:tblW w:w="8487" w:type="dxa"/>
        <w:tblLook w:val="04A0" w:firstRow="1" w:lastRow="0" w:firstColumn="1" w:lastColumn="0" w:noHBand="0" w:noVBand="1"/>
      </w:tblPr>
      <w:tblGrid>
        <w:gridCol w:w="3031"/>
        <w:gridCol w:w="1879"/>
        <w:gridCol w:w="2041"/>
        <w:gridCol w:w="1536"/>
      </w:tblGrid>
      <w:tr w:rsidR="0064379B" w:rsidRPr="00E21717" w14:paraId="500C72FE" w14:textId="77777777" w:rsidTr="0040107F">
        <w:trPr>
          <w:trHeight w:val="302"/>
        </w:trPr>
        <w:tc>
          <w:tcPr>
            <w:tcW w:w="3031" w:type="dxa"/>
            <w:tcBorders>
              <w:top w:val="nil"/>
              <w:left w:val="nil"/>
              <w:bottom w:val="nil"/>
              <w:right w:val="nil"/>
            </w:tcBorders>
            <w:shd w:val="clear" w:color="auto" w:fill="auto"/>
            <w:noWrap/>
            <w:vAlign w:val="bottom"/>
          </w:tcPr>
          <w:p w14:paraId="2B736FE9" w14:textId="08A4662D" w:rsidR="0064379B" w:rsidRPr="00E21717" w:rsidRDefault="0064379B" w:rsidP="0040107F">
            <w:pPr>
              <w:rPr>
                <w:rFonts w:ascii="dcr10" w:eastAsia="Times New Roman" w:hAnsi="dcr10" w:cs="Times New Roman"/>
                <w:i/>
                <w:iCs/>
                <w:color w:val="0000FF"/>
                <w:sz w:val="18"/>
                <w:szCs w:val="18"/>
              </w:rPr>
            </w:pPr>
          </w:p>
        </w:tc>
        <w:tc>
          <w:tcPr>
            <w:tcW w:w="1879" w:type="dxa"/>
            <w:tcBorders>
              <w:top w:val="nil"/>
              <w:left w:val="nil"/>
              <w:bottom w:val="nil"/>
              <w:right w:val="nil"/>
            </w:tcBorders>
            <w:shd w:val="clear" w:color="auto" w:fill="auto"/>
            <w:noWrap/>
            <w:vAlign w:val="bottom"/>
          </w:tcPr>
          <w:p w14:paraId="0699067B" w14:textId="77777777" w:rsidR="0064379B" w:rsidRDefault="0064379B" w:rsidP="0040107F">
            <w:pPr>
              <w:jc w:val="center"/>
              <w:rPr>
                <w:rFonts w:ascii="dcr10" w:eastAsia="Times New Roman" w:hAnsi="dcr10" w:cs="Times New Roman"/>
                <w:i/>
                <w:iCs/>
                <w:color w:val="0000FF"/>
                <w:sz w:val="18"/>
                <w:szCs w:val="18"/>
              </w:rPr>
            </w:pPr>
          </w:p>
        </w:tc>
        <w:tc>
          <w:tcPr>
            <w:tcW w:w="2041" w:type="dxa"/>
            <w:tcBorders>
              <w:top w:val="nil"/>
              <w:left w:val="nil"/>
              <w:bottom w:val="nil"/>
              <w:right w:val="nil"/>
            </w:tcBorders>
            <w:shd w:val="clear" w:color="auto" w:fill="auto"/>
            <w:noWrap/>
            <w:vAlign w:val="bottom"/>
          </w:tcPr>
          <w:p w14:paraId="379A3F14" w14:textId="77777777" w:rsidR="0064379B" w:rsidRDefault="0064379B" w:rsidP="0040107F">
            <w:pPr>
              <w:jc w:val="center"/>
              <w:rPr>
                <w:rFonts w:ascii="dcr10" w:eastAsia="Times New Roman" w:hAnsi="dcr10" w:cs="Times New Roman"/>
                <w:i/>
                <w:iCs/>
                <w:color w:val="0000FF"/>
                <w:sz w:val="18"/>
                <w:szCs w:val="18"/>
              </w:rPr>
            </w:pPr>
          </w:p>
        </w:tc>
        <w:tc>
          <w:tcPr>
            <w:tcW w:w="1536" w:type="dxa"/>
            <w:tcBorders>
              <w:top w:val="nil"/>
              <w:left w:val="nil"/>
              <w:bottom w:val="nil"/>
              <w:right w:val="nil"/>
            </w:tcBorders>
            <w:shd w:val="clear" w:color="auto" w:fill="auto"/>
            <w:noWrap/>
            <w:vAlign w:val="bottom"/>
          </w:tcPr>
          <w:p w14:paraId="3372A40E" w14:textId="77777777" w:rsidR="0064379B" w:rsidRDefault="0064379B" w:rsidP="0040107F">
            <w:pPr>
              <w:jc w:val="center"/>
              <w:rPr>
                <w:rFonts w:ascii="dcr10" w:eastAsia="Times New Roman" w:hAnsi="dcr10" w:cs="Times New Roman"/>
                <w:i/>
                <w:iCs/>
                <w:color w:val="0000FF"/>
                <w:sz w:val="18"/>
                <w:szCs w:val="18"/>
              </w:rPr>
            </w:pPr>
          </w:p>
        </w:tc>
      </w:tr>
    </w:tbl>
    <w:p w14:paraId="28D35B34" w14:textId="222BDDC7" w:rsidR="0064379B" w:rsidRPr="00E21717" w:rsidRDefault="0064379B" w:rsidP="0064379B">
      <w:pPr>
        <w:spacing w:after="120"/>
        <w:jc w:val="center"/>
        <w:rPr>
          <w:rFonts w:ascii="dcr10" w:hAnsi="dcr10"/>
        </w:rPr>
      </w:pPr>
      <w:r w:rsidRPr="00E21717">
        <w:rPr>
          <w:rFonts w:ascii="dcr10" w:hAnsi="dcr10"/>
        </w:rPr>
        <w:t xml:space="preserve">Table </w:t>
      </w:r>
      <w:r>
        <w:rPr>
          <w:rFonts w:ascii="dcr10" w:hAnsi="dcr10"/>
        </w:rPr>
        <w:t>V</w:t>
      </w:r>
      <w:r w:rsidRPr="00E21717">
        <w:rPr>
          <w:rFonts w:ascii="dcr10" w:hAnsi="dcr10"/>
        </w:rPr>
        <w:br/>
      </w:r>
      <w:r>
        <w:rPr>
          <w:rFonts w:ascii="dcr10" w:hAnsi="dcr10"/>
        </w:rPr>
        <w:t>Bank Volatility -- Market Volatility for International Banks</w:t>
      </w:r>
    </w:p>
    <w:p w14:paraId="2DD80909" w14:textId="77777777" w:rsidR="0064379B" w:rsidRPr="00E21717" w:rsidRDefault="0064379B" w:rsidP="0064379B">
      <w:pPr>
        <w:jc w:val="both"/>
        <w:rPr>
          <w:rFonts w:ascii="dcr10" w:hAnsi="dcr10"/>
        </w:rPr>
      </w:pPr>
    </w:p>
    <w:p w14:paraId="53DF654D" w14:textId="63F1892E" w:rsidR="0064379B" w:rsidRPr="00E21717" w:rsidRDefault="0064379B" w:rsidP="0064379B">
      <w:pPr>
        <w:jc w:val="both"/>
        <w:rPr>
          <w:rFonts w:ascii="dcr10" w:hAnsi="dcr10"/>
        </w:rPr>
      </w:pPr>
      <w:r w:rsidRPr="00E21717">
        <w:rPr>
          <w:rFonts w:ascii="dcr10" w:hAnsi="dcr10"/>
        </w:rPr>
        <w:t xml:space="preserve">This table </w:t>
      </w:r>
      <w:r w:rsidR="00F902E1">
        <w:rPr>
          <w:rFonts w:ascii="dcr10" w:hAnsi="dcr10"/>
        </w:rPr>
        <w:t>compares bank to market volatility</w:t>
      </w:r>
      <w:r w:rsidRPr="00E21717">
        <w:rPr>
          <w:rFonts w:ascii="dcr10" w:hAnsi="dcr10"/>
        </w:rPr>
        <w:t xml:space="preserve"> for the thirty largest international financial institutions (excluding Chinese and American banks)</w:t>
      </w:r>
      <w:r>
        <w:rPr>
          <w:rFonts w:ascii="dcr10" w:hAnsi="dcr10"/>
        </w:rPr>
        <w:t xml:space="preserve"> for whom data is available</w:t>
      </w:r>
      <w:r w:rsidRPr="00E21717">
        <w:rPr>
          <w:rFonts w:ascii="dcr10" w:hAnsi="dcr10"/>
        </w:rPr>
        <w:t xml:space="preserve">. Pre-crisis is 2002-2007, and post-crisis is 2010-2014. We also compare pre-crisis to the most recent 2014 data. </w:t>
      </w:r>
    </w:p>
    <w:p w14:paraId="3C3E1C4E" w14:textId="77777777" w:rsidR="0064379B" w:rsidRPr="00E21717" w:rsidRDefault="0064379B" w:rsidP="0064379B">
      <w:pPr>
        <w:jc w:val="both"/>
        <w:rPr>
          <w:rFonts w:ascii="dcr10" w:hAnsi="dcr10"/>
        </w:rPr>
      </w:pPr>
    </w:p>
    <w:tbl>
      <w:tblPr>
        <w:tblpPr w:leftFromText="180" w:rightFromText="180" w:vertAnchor="page" w:horzAnchor="page" w:tblpX="1909" w:tblpY="3241"/>
        <w:tblW w:w="8487" w:type="dxa"/>
        <w:tblLook w:val="04A0" w:firstRow="1" w:lastRow="0" w:firstColumn="1" w:lastColumn="0" w:noHBand="0" w:noVBand="1"/>
      </w:tblPr>
      <w:tblGrid>
        <w:gridCol w:w="3031"/>
        <w:gridCol w:w="1879"/>
        <w:gridCol w:w="2041"/>
        <w:gridCol w:w="1536"/>
      </w:tblGrid>
      <w:tr w:rsidR="0064379B" w:rsidRPr="00E21717" w14:paraId="77701C35" w14:textId="77777777" w:rsidTr="0040107F">
        <w:trPr>
          <w:trHeight w:val="302"/>
        </w:trPr>
        <w:tc>
          <w:tcPr>
            <w:tcW w:w="3031" w:type="dxa"/>
            <w:tcBorders>
              <w:top w:val="single" w:sz="4" w:space="0" w:color="auto"/>
              <w:left w:val="nil"/>
              <w:bottom w:val="single" w:sz="4" w:space="0" w:color="auto"/>
              <w:right w:val="nil"/>
            </w:tcBorders>
            <w:shd w:val="clear" w:color="auto" w:fill="auto"/>
            <w:noWrap/>
            <w:vAlign w:val="center"/>
            <w:hideMark/>
          </w:tcPr>
          <w:p w14:paraId="35D0B44D" w14:textId="77777777" w:rsidR="0064379B" w:rsidRPr="00E21717" w:rsidRDefault="0064379B" w:rsidP="0040107F">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 xml:space="preserve">Bank  </w:t>
            </w:r>
          </w:p>
        </w:tc>
        <w:tc>
          <w:tcPr>
            <w:tcW w:w="1879" w:type="dxa"/>
            <w:tcBorders>
              <w:top w:val="single" w:sz="4" w:space="0" w:color="auto"/>
              <w:left w:val="nil"/>
              <w:bottom w:val="single" w:sz="4" w:space="0" w:color="auto"/>
              <w:right w:val="nil"/>
            </w:tcBorders>
            <w:shd w:val="clear" w:color="auto" w:fill="auto"/>
            <w:noWrap/>
            <w:vAlign w:val="center"/>
            <w:hideMark/>
          </w:tcPr>
          <w:p w14:paraId="22A1D141" w14:textId="77777777" w:rsidR="0064379B" w:rsidRPr="00E21717" w:rsidRDefault="0064379B" w:rsidP="0040107F">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Pre-crisis average</w:t>
            </w:r>
          </w:p>
        </w:tc>
        <w:tc>
          <w:tcPr>
            <w:tcW w:w="2041" w:type="dxa"/>
            <w:tcBorders>
              <w:top w:val="single" w:sz="4" w:space="0" w:color="auto"/>
              <w:left w:val="nil"/>
              <w:bottom w:val="single" w:sz="4" w:space="0" w:color="auto"/>
              <w:right w:val="nil"/>
            </w:tcBorders>
            <w:shd w:val="clear" w:color="auto" w:fill="auto"/>
            <w:noWrap/>
            <w:vAlign w:val="center"/>
            <w:hideMark/>
          </w:tcPr>
          <w:p w14:paraId="34E577F1" w14:textId="77777777" w:rsidR="0064379B" w:rsidRPr="00E21717" w:rsidRDefault="0064379B" w:rsidP="0040107F">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Post-crisis average</w:t>
            </w:r>
          </w:p>
        </w:tc>
        <w:tc>
          <w:tcPr>
            <w:tcW w:w="1536" w:type="dxa"/>
            <w:tcBorders>
              <w:top w:val="single" w:sz="4" w:space="0" w:color="auto"/>
              <w:left w:val="nil"/>
              <w:bottom w:val="single" w:sz="4" w:space="0" w:color="auto"/>
              <w:right w:val="nil"/>
            </w:tcBorders>
            <w:shd w:val="clear" w:color="auto" w:fill="auto"/>
            <w:noWrap/>
            <w:vAlign w:val="center"/>
            <w:hideMark/>
          </w:tcPr>
          <w:p w14:paraId="62371D68" w14:textId="77777777" w:rsidR="0064379B" w:rsidRPr="00E21717" w:rsidRDefault="0064379B" w:rsidP="0040107F">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2014 average</w:t>
            </w:r>
          </w:p>
        </w:tc>
      </w:tr>
      <w:tr w:rsidR="0064379B" w:rsidRPr="00E21717" w14:paraId="5EB658F7" w14:textId="77777777" w:rsidTr="0040107F">
        <w:trPr>
          <w:trHeight w:val="302"/>
        </w:trPr>
        <w:tc>
          <w:tcPr>
            <w:tcW w:w="3031" w:type="dxa"/>
            <w:tcBorders>
              <w:top w:val="single" w:sz="4" w:space="0" w:color="auto"/>
              <w:left w:val="nil"/>
              <w:bottom w:val="nil"/>
              <w:right w:val="nil"/>
            </w:tcBorders>
            <w:shd w:val="clear" w:color="auto" w:fill="auto"/>
            <w:noWrap/>
            <w:vAlign w:val="center"/>
            <w:hideMark/>
          </w:tcPr>
          <w:p w14:paraId="22F72002" w14:textId="77777777" w:rsidR="0064379B" w:rsidRPr="00E21717" w:rsidRDefault="0064379B" w:rsidP="0040107F">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Credit </w:t>
            </w:r>
            <w:proofErr w:type="spellStart"/>
            <w:r w:rsidRPr="00E21717">
              <w:rPr>
                <w:rFonts w:ascii="dcr10" w:eastAsia="Times New Roman" w:hAnsi="dcr10" w:cs="Times New Roman"/>
                <w:color w:val="000000"/>
                <w:sz w:val="18"/>
                <w:szCs w:val="18"/>
              </w:rPr>
              <w:t>Agricole</w:t>
            </w:r>
            <w:proofErr w:type="spellEnd"/>
            <w:r w:rsidRPr="00E21717">
              <w:rPr>
                <w:rFonts w:ascii="dcr10" w:eastAsia="Times New Roman" w:hAnsi="dcr10" w:cs="Times New Roman"/>
                <w:color w:val="000000"/>
                <w:sz w:val="18"/>
                <w:szCs w:val="18"/>
              </w:rPr>
              <w:t xml:space="preserve"> Group</w:t>
            </w:r>
          </w:p>
        </w:tc>
        <w:tc>
          <w:tcPr>
            <w:tcW w:w="1879" w:type="dxa"/>
            <w:tcBorders>
              <w:top w:val="single" w:sz="4" w:space="0" w:color="auto"/>
              <w:left w:val="nil"/>
              <w:bottom w:val="nil"/>
              <w:right w:val="nil"/>
            </w:tcBorders>
            <w:shd w:val="clear" w:color="auto" w:fill="auto"/>
            <w:noWrap/>
            <w:vAlign w:val="center"/>
            <w:hideMark/>
          </w:tcPr>
          <w:p w14:paraId="7D939EDA" w14:textId="20CF260C"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7.74</w:t>
            </w:r>
          </w:p>
        </w:tc>
        <w:tc>
          <w:tcPr>
            <w:tcW w:w="2041" w:type="dxa"/>
            <w:tcBorders>
              <w:top w:val="single" w:sz="4" w:space="0" w:color="auto"/>
              <w:left w:val="nil"/>
              <w:bottom w:val="nil"/>
              <w:right w:val="nil"/>
            </w:tcBorders>
            <w:shd w:val="clear" w:color="auto" w:fill="auto"/>
            <w:noWrap/>
            <w:vAlign w:val="center"/>
            <w:hideMark/>
          </w:tcPr>
          <w:p w14:paraId="2341FEE4" w14:textId="25FF61BC"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24.00</w:t>
            </w:r>
          </w:p>
        </w:tc>
        <w:tc>
          <w:tcPr>
            <w:tcW w:w="1536" w:type="dxa"/>
            <w:tcBorders>
              <w:top w:val="single" w:sz="4" w:space="0" w:color="auto"/>
              <w:left w:val="nil"/>
              <w:bottom w:val="nil"/>
              <w:right w:val="nil"/>
            </w:tcBorders>
            <w:shd w:val="clear" w:color="auto" w:fill="auto"/>
            <w:noWrap/>
            <w:vAlign w:val="center"/>
            <w:hideMark/>
          </w:tcPr>
          <w:p w14:paraId="35DC47AC" w14:textId="1352C14C"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13.90</w:t>
            </w:r>
          </w:p>
        </w:tc>
      </w:tr>
      <w:tr w:rsidR="0064379B" w:rsidRPr="00E21717" w14:paraId="3E9A3CC4" w14:textId="77777777" w:rsidTr="0040107F">
        <w:trPr>
          <w:trHeight w:val="302"/>
        </w:trPr>
        <w:tc>
          <w:tcPr>
            <w:tcW w:w="3031" w:type="dxa"/>
            <w:tcBorders>
              <w:top w:val="nil"/>
              <w:left w:val="nil"/>
              <w:bottom w:val="nil"/>
              <w:right w:val="nil"/>
            </w:tcBorders>
            <w:shd w:val="clear" w:color="auto" w:fill="auto"/>
            <w:noWrap/>
            <w:vAlign w:val="center"/>
            <w:hideMark/>
          </w:tcPr>
          <w:p w14:paraId="147FE083" w14:textId="77777777" w:rsidR="0064379B" w:rsidRPr="00E21717" w:rsidRDefault="0064379B"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Australia &amp; NZ Bank</w:t>
            </w:r>
          </w:p>
        </w:tc>
        <w:tc>
          <w:tcPr>
            <w:tcW w:w="1879" w:type="dxa"/>
            <w:tcBorders>
              <w:top w:val="nil"/>
              <w:left w:val="nil"/>
              <w:bottom w:val="nil"/>
              <w:right w:val="nil"/>
            </w:tcBorders>
            <w:shd w:val="clear" w:color="auto" w:fill="auto"/>
            <w:noWrap/>
            <w:vAlign w:val="center"/>
            <w:hideMark/>
          </w:tcPr>
          <w:p w14:paraId="08D4C0D5" w14:textId="251458DA"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6.00</w:t>
            </w:r>
          </w:p>
        </w:tc>
        <w:tc>
          <w:tcPr>
            <w:tcW w:w="2041" w:type="dxa"/>
            <w:tcBorders>
              <w:top w:val="nil"/>
              <w:left w:val="nil"/>
              <w:bottom w:val="nil"/>
              <w:right w:val="nil"/>
            </w:tcBorders>
            <w:shd w:val="clear" w:color="auto" w:fill="auto"/>
            <w:noWrap/>
            <w:vAlign w:val="center"/>
            <w:hideMark/>
          </w:tcPr>
          <w:p w14:paraId="64F66A8B" w14:textId="49ED01B6"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6.28</w:t>
            </w:r>
          </w:p>
        </w:tc>
        <w:tc>
          <w:tcPr>
            <w:tcW w:w="1536" w:type="dxa"/>
            <w:tcBorders>
              <w:top w:val="nil"/>
              <w:left w:val="nil"/>
              <w:bottom w:val="nil"/>
              <w:right w:val="nil"/>
            </w:tcBorders>
            <w:shd w:val="clear" w:color="auto" w:fill="auto"/>
            <w:noWrap/>
            <w:vAlign w:val="center"/>
            <w:hideMark/>
          </w:tcPr>
          <w:p w14:paraId="5C62350E" w14:textId="4B0FB1E3"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4.99</w:t>
            </w:r>
          </w:p>
        </w:tc>
      </w:tr>
      <w:tr w:rsidR="0064379B" w:rsidRPr="00E21717" w14:paraId="6778EA73" w14:textId="77777777" w:rsidTr="0040107F">
        <w:trPr>
          <w:trHeight w:val="302"/>
        </w:trPr>
        <w:tc>
          <w:tcPr>
            <w:tcW w:w="3031" w:type="dxa"/>
            <w:tcBorders>
              <w:top w:val="nil"/>
              <w:left w:val="nil"/>
              <w:bottom w:val="nil"/>
              <w:right w:val="nil"/>
            </w:tcBorders>
            <w:shd w:val="clear" w:color="auto" w:fill="auto"/>
            <w:noWrap/>
            <w:vAlign w:val="center"/>
            <w:hideMark/>
          </w:tcPr>
          <w:p w14:paraId="3E1A0D82" w14:textId="77777777" w:rsidR="0064379B" w:rsidRPr="00E21717" w:rsidRDefault="0064379B" w:rsidP="0040107F">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Banco</w:t>
            </w:r>
            <w:proofErr w:type="spellEnd"/>
            <w:r w:rsidRPr="00E21717">
              <w:rPr>
                <w:rFonts w:ascii="dcr10" w:eastAsia="Times New Roman" w:hAnsi="dcr10" w:cs="Times New Roman"/>
                <w:color w:val="000000"/>
                <w:sz w:val="18"/>
                <w:szCs w:val="18"/>
              </w:rPr>
              <w:t xml:space="preserve"> do </w:t>
            </w:r>
            <w:proofErr w:type="spellStart"/>
            <w:r w:rsidRPr="00E21717">
              <w:rPr>
                <w:rFonts w:ascii="dcr10" w:eastAsia="Times New Roman" w:hAnsi="dcr10" w:cs="Times New Roman"/>
                <w:color w:val="000000"/>
                <w:sz w:val="18"/>
                <w:szCs w:val="18"/>
              </w:rPr>
              <w:t>Brasil</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08851A0F" w14:textId="0319188B"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15.72</w:t>
            </w:r>
          </w:p>
        </w:tc>
        <w:tc>
          <w:tcPr>
            <w:tcW w:w="2041" w:type="dxa"/>
            <w:tcBorders>
              <w:top w:val="nil"/>
              <w:left w:val="nil"/>
              <w:bottom w:val="nil"/>
              <w:right w:val="nil"/>
            </w:tcBorders>
            <w:shd w:val="clear" w:color="auto" w:fill="auto"/>
            <w:noWrap/>
            <w:vAlign w:val="center"/>
            <w:hideMark/>
          </w:tcPr>
          <w:p w14:paraId="75455F27" w14:textId="33B297D6"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9.45</w:t>
            </w:r>
          </w:p>
        </w:tc>
        <w:tc>
          <w:tcPr>
            <w:tcW w:w="1536" w:type="dxa"/>
            <w:tcBorders>
              <w:top w:val="nil"/>
              <w:left w:val="nil"/>
              <w:bottom w:val="nil"/>
              <w:right w:val="nil"/>
            </w:tcBorders>
            <w:shd w:val="clear" w:color="auto" w:fill="auto"/>
            <w:noWrap/>
            <w:vAlign w:val="center"/>
            <w:hideMark/>
          </w:tcPr>
          <w:p w14:paraId="016053BB" w14:textId="0365A8C5"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14.01</w:t>
            </w:r>
          </w:p>
        </w:tc>
      </w:tr>
      <w:tr w:rsidR="0064379B" w:rsidRPr="00E21717" w14:paraId="7B91C6B2" w14:textId="77777777" w:rsidTr="0040107F">
        <w:trPr>
          <w:trHeight w:val="302"/>
        </w:trPr>
        <w:tc>
          <w:tcPr>
            <w:tcW w:w="3031" w:type="dxa"/>
            <w:tcBorders>
              <w:top w:val="nil"/>
              <w:left w:val="nil"/>
              <w:bottom w:val="nil"/>
              <w:right w:val="nil"/>
            </w:tcBorders>
            <w:shd w:val="clear" w:color="auto" w:fill="auto"/>
            <w:noWrap/>
            <w:vAlign w:val="center"/>
            <w:hideMark/>
          </w:tcPr>
          <w:p w14:paraId="24C71C7D" w14:textId="77777777" w:rsidR="0064379B" w:rsidRPr="00E21717" w:rsidRDefault="0064379B"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Bank of Montreal </w:t>
            </w:r>
          </w:p>
        </w:tc>
        <w:tc>
          <w:tcPr>
            <w:tcW w:w="1879" w:type="dxa"/>
            <w:tcBorders>
              <w:top w:val="nil"/>
              <w:left w:val="nil"/>
              <w:bottom w:val="nil"/>
              <w:right w:val="nil"/>
            </w:tcBorders>
            <w:shd w:val="clear" w:color="auto" w:fill="auto"/>
            <w:noWrap/>
            <w:vAlign w:val="center"/>
            <w:hideMark/>
          </w:tcPr>
          <w:p w14:paraId="059CBD22" w14:textId="50120B65"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4.54</w:t>
            </w:r>
          </w:p>
        </w:tc>
        <w:tc>
          <w:tcPr>
            <w:tcW w:w="2041" w:type="dxa"/>
            <w:tcBorders>
              <w:top w:val="nil"/>
              <w:left w:val="nil"/>
              <w:bottom w:val="nil"/>
              <w:right w:val="nil"/>
            </w:tcBorders>
            <w:shd w:val="clear" w:color="auto" w:fill="auto"/>
            <w:noWrap/>
            <w:vAlign w:val="center"/>
            <w:hideMark/>
          </w:tcPr>
          <w:p w14:paraId="69106D08" w14:textId="3F3AF19A"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2.39</w:t>
            </w:r>
          </w:p>
        </w:tc>
        <w:tc>
          <w:tcPr>
            <w:tcW w:w="1536" w:type="dxa"/>
            <w:tcBorders>
              <w:top w:val="nil"/>
              <w:left w:val="nil"/>
              <w:bottom w:val="nil"/>
              <w:right w:val="nil"/>
            </w:tcBorders>
            <w:shd w:val="clear" w:color="auto" w:fill="auto"/>
            <w:noWrap/>
            <w:vAlign w:val="center"/>
            <w:hideMark/>
          </w:tcPr>
          <w:p w14:paraId="3633C823" w14:textId="503237F5"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1.96</w:t>
            </w:r>
          </w:p>
        </w:tc>
      </w:tr>
      <w:tr w:rsidR="0064379B" w:rsidRPr="00E21717" w14:paraId="6BF8EECB" w14:textId="77777777" w:rsidTr="0040107F">
        <w:trPr>
          <w:trHeight w:val="302"/>
        </w:trPr>
        <w:tc>
          <w:tcPr>
            <w:tcW w:w="3031" w:type="dxa"/>
            <w:tcBorders>
              <w:top w:val="nil"/>
              <w:left w:val="nil"/>
              <w:bottom w:val="nil"/>
              <w:right w:val="nil"/>
            </w:tcBorders>
            <w:shd w:val="clear" w:color="auto" w:fill="auto"/>
            <w:noWrap/>
            <w:vAlign w:val="center"/>
            <w:hideMark/>
          </w:tcPr>
          <w:p w14:paraId="22808EA8" w14:textId="77777777" w:rsidR="0064379B" w:rsidRPr="00E21717" w:rsidRDefault="0064379B" w:rsidP="0040107F">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Barclays PLC</w:t>
            </w:r>
          </w:p>
        </w:tc>
        <w:tc>
          <w:tcPr>
            <w:tcW w:w="1879" w:type="dxa"/>
            <w:tcBorders>
              <w:top w:val="nil"/>
              <w:left w:val="nil"/>
              <w:bottom w:val="nil"/>
              <w:right w:val="nil"/>
            </w:tcBorders>
            <w:shd w:val="clear" w:color="auto" w:fill="auto"/>
            <w:noWrap/>
            <w:vAlign w:val="center"/>
            <w:hideMark/>
          </w:tcPr>
          <w:p w14:paraId="38ED7D67" w14:textId="0233D41D"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12.11</w:t>
            </w:r>
          </w:p>
        </w:tc>
        <w:tc>
          <w:tcPr>
            <w:tcW w:w="2041" w:type="dxa"/>
            <w:tcBorders>
              <w:top w:val="nil"/>
              <w:left w:val="nil"/>
              <w:bottom w:val="nil"/>
              <w:right w:val="nil"/>
            </w:tcBorders>
            <w:shd w:val="clear" w:color="auto" w:fill="auto"/>
            <w:noWrap/>
            <w:vAlign w:val="center"/>
            <w:hideMark/>
          </w:tcPr>
          <w:p w14:paraId="09F09F01" w14:textId="4588D7F5"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27.88</w:t>
            </w:r>
          </w:p>
        </w:tc>
        <w:tc>
          <w:tcPr>
            <w:tcW w:w="1536" w:type="dxa"/>
            <w:tcBorders>
              <w:top w:val="nil"/>
              <w:left w:val="nil"/>
              <w:bottom w:val="nil"/>
              <w:right w:val="nil"/>
            </w:tcBorders>
            <w:shd w:val="clear" w:color="auto" w:fill="auto"/>
            <w:noWrap/>
            <w:vAlign w:val="center"/>
            <w:hideMark/>
          </w:tcPr>
          <w:p w14:paraId="6F10A0E2" w14:textId="6B65A5D4"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14.38</w:t>
            </w:r>
          </w:p>
        </w:tc>
      </w:tr>
      <w:tr w:rsidR="0064379B" w:rsidRPr="00E21717" w14:paraId="4D40E1C9" w14:textId="77777777" w:rsidTr="0040107F">
        <w:trPr>
          <w:trHeight w:val="302"/>
        </w:trPr>
        <w:tc>
          <w:tcPr>
            <w:tcW w:w="3031" w:type="dxa"/>
            <w:tcBorders>
              <w:top w:val="nil"/>
              <w:left w:val="nil"/>
              <w:bottom w:val="nil"/>
              <w:right w:val="nil"/>
            </w:tcBorders>
            <w:shd w:val="clear" w:color="auto" w:fill="auto"/>
            <w:noWrap/>
            <w:vAlign w:val="center"/>
            <w:hideMark/>
          </w:tcPr>
          <w:p w14:paraId="47EDC2C7" w14:textId="77777777" w:rsidR="0064379B" w:rsidRPr="00E21717" w:rsidRDefault="0064379B"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BNP Paribas</w:t>
            </w:r>
          </w:p>
        </w:tc>
        <w:tc>
          <w:tcPr>
            <w:tcW w:w="1879" w:type="dxa"/>
            <w:tcBorders>
              <w:top w:val="nil"/>
              <w:left w:val="nil"/>
              <w:bottom w:val="nil"/>
              <w:right w:val="nil"/>
            </w:tcBorders>
            <w:shd w:val="clear" w:color="auto" w:fill="auto"/>
            <w:noWrap/>
            <w:vAlign w:val="center"/>
            <w:hideMark/>
          </w:tcPr>
          <w:p w14:paraId="07562ED4" w14:textId="24753B29"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7.43</w:t>
            </w:r>
          </w:p>
        </w:tc>
        <w:tc>
          <w:tcPr>
            <w:tcW w:w="2041" w:type="dxa"/>
            <w:tcBorders>
              <w:top w:val="nil"/>
              <w:left w:val="nil"/>
              <w:bottom w:val="nil"/>
              <w:right w:val="nil"/>
            </w:tcBorders>
            <w:shd w:val="clear" w:color="auto" w:fill="auto"/>
            <w:noWrap/>
            <w:vAlign w:val="center"/>
            <w:hideMark/>
          </w:tcPr>
          <w:p w14:paraId="104F2906" w14:textId="6024AA5B"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19.28</w:t>
            </w:r>
          </w:p>
        </w:tc>
        <w:tc>
          <w:tcPr>
            <w:tcW w:w="1536" w:type="dxa"/>
            <w:tcBorders>
              <w:top w:val="nil"/>
              <w:left w:val="nil"/>
              <w:bottom w:val="nil"/>
              <w:right w:val="nil"/>
            </w:tcBorders>
            <w:shd w:val="clear" w:color="auto" w:fill="auto"/>
            <w:noWrap/>
            <w:vAlign w:val="center"/>
            <w:hideMark/>
          </w:tcPr>
          <w:p w14:paraId="47E592E3" w14:textId="13EC457F"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9.24</w:t>
            </w:r>
          </w:p>
        </w:tc>
      </w:tr>
      <w:tr w:rsidR="0064379B" w:rsidRPr="00E21717" w14:paraId="254F905B" w14:textId="77777777" w:rsidTr="0040107F">
        <w:trPr>
          <w:trHeight w:val="302"/>
        </w:trPr>
        <w:tc>
          <w:tcPr>
            <w:tcW w:w="3031" w:type="dxa"/>
            <w:tcBorders>
              <w:top w:val="nil"/>
              <w:left w:val="nil"/>
              <w:bottom w:val="nil"/>
              <w:right w:val="nil"/>
            </w:tcBorders>
            <w:shd w:val="clear" w:color="auto" w:fill="auto"/>
            <w:noWrap/>
            <w:vAlign w:val="center"/>
            <w:hideMark/>
          </w:tcPr>
          <w:p w14:paraId="4D22B542" w14:textId="77777777" w:rsidR="0064379B" w:rsidRPr="00E21717" w:rsidRDefault="0064379B" w:rsidP="0040107F">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Commerzbank </w:t>
            </w:r>
          </w:p>
        </w:tc>
        <w:tc>
          <w:tcPr>
            <w:tcW w:w="1879" w:type="dxa"/>
            <w:tcBorders>
              <w:top w:val="nil"/>
              <w:left w:val="nil"/>
              <w:bottom w:val="nil"/>
              <w:right w:val="nil"/>
            </w:tcBorders>
            <w:shd w:val="clear" w:color="auto" w:fill="auto"/>
            <w:noWrap/>
            <w:vAlign w:val="center"/>
            <w:hideMark/>
          </w:tcPr>
          <w:p w14:paraId="47908BA1" w14:textId="7072641A"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12.97</w:t>
            </w:r>
          </w:p>
        </w:tc>
        <w:tc>
          <w:tcPr>
            <w:tcW w:w="2041" w:type="dxa"/>
            <w:tcBorders>
              <w:top w:val="nil"/>
              <w:left w:val="nil"/>
              <w:bottom w:val="nil"/>
              <w:right w:val="nil"/>
            </w:tcBorders>
            <w:shd w:val="clear" w:color="auto" w:fill="auto"/>
            <w:noWrap/>
            <w:vAlign w:val="center"/>
            <w:hideMark/>
          </w:tcPr>
          <w:p w14:paraId="0F49737C" w14:textId="4695EE52"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27.52</w:t>
            </w:r>
          </w:p>
        </w:tc>
        <w:tc>
          <w:tcPr>
            <w:tcW w:w="1536" w:type="dxa"/>
            <w:tcBorders>
              <w:top w:val="nil"/>
              <w:left w:val="nil"/>
              <w:bottom w:val="nil"/>
              <w:right w:val="nil"/>
            </w:tcBorders>
            <w:shd w:val="clear" w:color="auto" w:fill="auto"/>
            <w:noWrap/>
            <w:vAlign w:val="center"/>
            <w:hideMark/>
          </w:tcPr>
          <w:p w14:paraId="0FE02747" w14:textId="3B0E4721"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25.96</w:t>
            </w:r>
          </w:p>
        </w:tc>
      </w:tr>
      <w:tr w:rsidR="0064379B" w:rsidRPr="00E21717" w14:paraId="74E7C72F" w14:textId="77777777" w:rsidTr="0040107F">
        <w:trPr>
          <w:trHeight w:val="302"/>
        </w:trPr>
        <w:tc>
          <w:tcPr>
            <w:tcW w:w="3031" w:type="dxa"/>
            <w:tcBorders>
              <w:top w:val="nil"/>
              <w:left w:val="nil"/>
              <w:bottom w:val="nil"/>
              <w:right w:val="nil"/>
            </w:tcBorders>
            <w:shd w:val="clear" w:color="auto" w:fill="auto"/>
            <w:noWrap/>
            <w:vAlign w:val="center"/>
            <w:hideMark/>
          </w:tcPr>
          <w:p w14:paraId="7861CA6C" w14:textId="77777777" w:rsidR="0064379B" w:rsidRPr="00E21717" w:rsidRDefault="0064379B"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Credit Suisse Group </w:t>
            </w:r>
          </w:p>
        </w:tc>
        <w:tc>
          <w:tcPr>
            <w:tcW w:w="1879" w:type="dxa"/>
            <w:tcBorders>
              <w:top w:val="nil"/>
              <w:left w:val="nil"/>
              <w:bottom w:val="nil"/>
              <w:right w:val="nil"/>
            </w:tcBorders>
            <w:shd w:val="clear" w:color="auto" w:fill="auto"/>
            <w:noWrap/>
            <w:vAlign w:val="center"/>
            <w:hideMark/>
          </w:tcPr>
          <w:p w14:paraId="5A9F897E" w14:textId="48EBE982"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15.67</w:t>
            </w:r>
          </w:p>
        </w:tc>
        <w:tc>
          <w:tcPr>
            <w:tcW w:w="2041" w:type="dxa"/>
            <w:tcBorders>
              <w:top w:val="nil"/>
              <w:left w:val="nil"/>
              <w:bottom w:val="nil"/>
              <w:right w:val="nil"/>
            </w:tcBorders>
            <w:shd w:val="clear" w:color="auto" w:fill="auto"/>
            <w:noWrap/>
            <w:vAlign w:val="center"/>
            <w:hideMark/>
          </w:tcPr>
          <w:p w14:paraId="356A9525" w14:textId="5E453761"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18.53</w:t>
            </w:r>
          </w:p>
        </w:tc>
        <w:tc>
          <w:tcPr>
            <w:tcW w:w="1536" w:type="dxa"/>
            <w:tcBorders>
              <w:top w:val="nil"/>
              <w:left w:val="nil"/>
              <w:bottom w:val="nil"/>
              <w:right w:val="nil"/>
            </w:tcBorders>
            <w:shd w:val="clear" w:color="auto" w:fill="auto"/>
            <w:noWrap/>
            <w:vAlign w:val="center"/>
            <w:hideMark/>
          </w:tcPr>
          <w:p w14:paraId="54E87545" w14:textId="74B9C7F4"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10.64</w:t>
            </w:r>
          </w:p>
        </w:tc>
      </w:tr>
      <w:tr w:rsidR="0064379B" w:rsidRPr="00E21717" w14:paraId="58834C83" w14:textId="77777777" w:rsidTr="0040107F">
        <w:trPr>
          <w:trHeight w:val="302"/>
        </w:trPr>
        <w:tc>
          <w:tcPr>
            <w:tcW w:w="3031" w:type="dxa"/>
            <w:tcBorders>
              <w:top w:val="nil"/>
              <w:left w:val="nil"/>
              <w:bottom w:val="nil"/>
              <w:right w:val="nil"/>
            </w:tcBorders>
            <w:shd w:val="clear" w:color="auto" w:fill="auto"/>
            <w:noWrap/>
            <w:vAlign w:val="center"/>
            <w:hideMark/>
          </w:tcPr>
          <w:p w14:paraId="7AD13E39" w14:textId="77777777" w:rsidR="0064379B" w:rsidRPr="00E21717" w:rsidRDefault="0064379B" w:rsidP="0040107F">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Danske</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484CFD21" w14:textId="03C84594"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2.14</w:t>
            </w:r>
          </w:p>
        </w:tc>
        <w:tc>
          <w:tcPr>
            <w:tcW w:w="2041" w:type="dxa"/>
            <w:tcBorders>
              <w:top w:val="nil"/>
              <w:left w:val="nil"/>
              <w:bottom w:val="nil"/>
              <w:right w:val="nil"/>
            </w:tcBorders>
            <w:shd w:val="clear" w:color="auto" w:fill="auto"/>
            <w:noWrap/>
            <w:vAlign w:val="center"/>
            <w:hideMark/>
          </w:tcPr>
          <w:p w14:paraId="4C97AE88" w14:textId="30BB47F3"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12.31</w:t>
            </w:r>
          </w:p>
        </w:tc>
        <w:tc>
          <w:tcPr>
            <w:tcW w:w="1536" w:type="dxa"/>
            <w:tcBorders>
              <w:top w:val="nil"/>
              <w:left w:val="nil"/>
              <w:bottom w:val="nil"/>
              <w:right w:val="nil"/>
            </w:tcBorders>
            <w:shd w:val="clear" w:color="auto" w:fill="auto"/>
            <w:noWrap/>
            <w:vAlign w:val="center"/>
            <w:hideMark/>
          </w:tcPr>
          <w:p w14:paraId="720F858C" w14:textId="1E4E1F88"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6.99</w:t>
            </w:r>
          </w:p>
        </w:tc>
      </w:tr>
      <w:tr w:rsidR="0064379B" w:rsidRPr="00E21717" w14:paraId="36AB88A0" w14:textId="77777777" w:rsidTr="0040107F">
        <w:trPr>
          <w:trHeight w:val="302"/>
        </w:trPr>
        <w:tc>
          <w:tcPr>
            <w:tcW w:w="3031" w:type="dxa"/>
            <w:tcBorders>
              <w:top w:val="nil"/>
              <w:left w:val="nil"/>
              <w:bottom w:val="nil"/>
              <w:right w:val="nil"/>
            </w:tcBorders>
            <w:shd w:val="clear" w:color="auto" w:fill="auto"/>
            <w:noWrap/>
            <w:vAlign w:val="center"/>
            <w:hideMark/>
          </w:tcPr>
          <w:p w14:paraId="401B12C9" w14:textId="77777777" w:rsidR="0064379B" w:rsidRPr="00E21717" w:rsidRDefault="0064379B"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Deutsche Bank </w:t>
            </w:r>
          </w:p>
        </w:tc>
        <w:tc>
          <w:tcPr>
            <w:tcW w:w="1879" w:type="dxa"/>
            <w:tcBorders>
              <w:top w:val="nil"/>
              <w:left w:val="nil"/>
              <w:bottom w:val="nil"/>
              <w:right w:val="nil"/>
            </w:tcBorders>
            <w:shd w:val="clear" w:color="auto" w:fill="auto"/>
            <w:noWrap/>
            <w:vAlign w:val="center"/>
            <w:hideMark/>
          </w:tcPr>
          <w:p w14:paraId="69AC70A6" w14:textId="728AC3DD"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7.33</w:t>
            </w:r>
          </w:p>
        </w:tc>
        <w:tc>
          <w:tcPr>
            <w:tcW w:w="2041" w:type="dxa"/>
            <w:tcBorders>
              <w:top w:val="nil"/>
              <w:left w:val="nil"/>
              <w:bottom w:val="nil"/>
              <w:right w:val="nil"/>
            </w:tcBorders>
            <w:shd w:val="clear" w:color="auto" w:fill="auto"/>
            <w:noWrap/>
            <w:vAlign w:val="center"/>
            <w:hideMark/>
          </w:tcPr>
          <w:p w14:paraId="176A8306" w14:textId="470F96EA"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16.14</w:t>
            </w:r>
          </w:p>
        </w:tc>
        <w:tc>
          <w:tcPr>
            <w:tcW w:w="1536" w:type="dxa"/>
            <w:tcBorders>
              <w:top w:val="nil"/>
              <w:left w:val="nil"/>
              <w:bottom w:val="nil"/>
              <w:right w:val="nil"/>
            </w:tcBorders>
            <w:shd w:val="clear" w:color="auto" w:fill="auto"/>
            <w:noWrap/>
            <w:vAlign w:val="center"/>
            <w:hideMark/>
          </w:tcPr>
          <w:p w14:paraId="6C31342D" w14:textId="7A2D5635"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9.22</w:t>
            </w:r>
          </w:p>
        </w:tc>
      </w:tr>
      <w:tr w:rsidR="0064379B" w:rsidRPr="00E21717" w14:paraId="7AE44726" w14:textId="77777777" w:rsidTr="0040107F">
        <w:trPr>
          <w:trHeight w:val="302"/>
        </w:trPr>
        <w:tc>
          <w:tcPr>
            <w:tcW w:w="3031" w:type="dxa"/>
            <w:tcBorders>
              <w:top w:val="nil"/>
              <w:left w:val="nil"/>
              <w:bottom w:val="nil"/>
              <w:right w:val="nil"/>
            </w:tcBorders>
            <w:shd w:val="clear" w:color="auto" w:fill="auto"/>
            <w:noWrap/>
            <w:vAlign w:val="center"/>
            <w:hideMark/>
          </w:tcPr>
          <w:p w14:paraId="6DA539B7" w14:textId="77777777" w:rsidR="0064379B" w:rsidRPr="00E21717" w:rsidRDefault="0064379B" w:rsidP="0040107F">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HSBC Holdings</w:t>
            </w:r>
          </w:p>
        </w:tc>
        <w:tc>
          <w:tcPr>
            <w:tcW w:w="1879" w:type="dxa"/>
            <w:tcBorders>
              <w:top w:val="nil"/>
              <w:left w:val="nil"/>
              <w:bottom w:val="nil"/>
              <w:right w:val="nil"/>
            </w:tcBorders>
            <w:shd w:val="clear" w:color="auto" w:fill="auto"/>
            <w:noWrap/>
            <w:vAlign w:val="center"/>
            <w:hideMark/>
          </w:tcPr>
          <w:p w14:paraId="76A40847" w14:textId="318F0A89"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2.60</w:t>
            </w:r>
          </w:p>
        </w:tc>
        <w:tc>
          <w:tcPr>
            <w:tcW w:w="2041" w:type="dxa"/>
            <w:tcBorders>
              <w:top w:val="nil"/>
              <w:left w:val="nil"/>
              <w:bottom w:val="nil"/>
              <w:right w:val="nil"/>
            </w:tcBorders>
            <w:shd w:val="clear" w:color="auto" w:fill="auto"/>
            <w:noWrap/>
            <w:vAlign w:val="center"/>
            <w:hideMark/>
          </w:tcPr>
          <w:p w14:paraId="0DDE9417" w14:textId="4D3296B0"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7.64</w:t>
            </w:r>
          </w:p>
        </w:tc>
        <w:tc>
          <w:tcPr>
            <w:tcW w:w="1536" w:type="dxa"/>
            <w:tcBorders>
              <w:top w:val="nil"/>
              <w:left w:val="nil"/>
              <w:bottom w:val="nil"/>
              <w:right w:val="nil"/>
            </w:tcBorders>
            <w:shd w:val="clear" w:color="auto" w:fill="auto"/>
            <w:noWrap/>
            <w:vAlign w:val="center"/>
            <w:hideMark/>
          </w:tcPr>
          <w:p w14:paraId="2EE3F96B" w14:textId="1D0F5342"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5.58</w:t>
            </w:r>
          </w:p>
        </w:tc>
      </w:tr>
      <w:tr w:rsidR="0064379B" w:rsidRPr="00E21717" w14:paraId="29E35E61" w14:textId="77777777" w:rsidTr="0040107F">
        <w:trPr>
          <w:trHeight w:val="302"/>
        </w:trPr>
        <w:tc>
          <w:tcPr>
            <w:tcW w:w="3031" w:type="dxa"/>
            <w:tcBorders>
              <w:top w:val="nil"/>
              <w:left w:val="nil"/>
              <w:bottom w:val="nil"/>
              <w:right w:val="nil"/>
            </w:tcBorders>
            <w:shd w:val="clear" w:color="auto" w:fill="auto"/>
            <w:noWrap/>
            <w:vAlign w:val="center"/>
            <w:hideMark/>
          </w:tcPr>
          <w:p w14:paraId="228A6F5F" w14:textId="77777777" w:rsidR="0064379B" w:rsidRPr="00E21717" w:rsidRDefault="0064379B"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ING Bank N.V. </w:t>
            </w:r>
          </w:p>
        </w:tc>
        <w:tc>
          <w:tcPr>
            <w:tcW w:w="1879" w:type="dxa"/>
            <w:tcBorders>
              <w:top w:val="nil"/>
              <w:left w:val="nil"/>
              <w:bottom w:val="nil"/>
              <w:right w:val="nil"/>
            </w:tcBorders>
            <w:shd w:val="clear" w:color="auto" w:fill="auto"/>
            <w:noWrap/>
            <w:vAlign w:val="center"/>
            <w:hideMark/>
          </w:tcPr>
          <w:p w14:paraId="33DF5F03" w14:textId="6549DE9C"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13.52</w:t>
            </w:r>
          </w:p>
        </w:tc>
        <w:tc>
          <w:tcPr>
            <w:tcW w:w="2041" w:type="dxa"/>
            <w:tcBorders>
              <w:top w:val="nil"/>
              <w:left w:val="nil"/>
              <w:bottom w:val="nil"/>
              <w:right w:val="nil"/>
            </w:tcBorders>
            <w:shd w:val="clear" w:color="auto" w:fill="auto"/>
            <w:noWrap/>
            <w:vAlign w:val="center"/>
            <w:hideMark/>
          </w:tcPr>
          <w:p w14:paraId="1B4CC537" w14:textId="2AC639EC"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23.91</w:t>
            </w:r>
          </w:p>
        </w:tc>
        <w:tc>
          <w:tcPr>
            <w:tcW w:w="1536" w:type="dxa"/>
            <w:tcBorders>
              <w:top w:val="nil"/>
              <w:left w:val="nil"/>
              <w:bottom w:val="nil"/>
              <w:right w:val="nil"/>
            </w:tcBorders>
            <w:shd w:val="clear" w:color="auto" w:fill="auto"/>
            <w:noWrap/>
            <w:vAlign w:val="center"/>
            <w:hideMark/>
          </w:tcPr>
          <w:p w14:paraId="6B36A1A0" w14:textId="5B42D75B"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13.05</w:t>
            </w:r>
          </w:p>
        </w:tc>
      </w:tr>
      <w:tr w:rsidR="0064379B" w:rsidRPr="00E21717" w14:paraId="7FE7C4A9" w14:textId="77777777" w:rsidTr="0040107F">
        <w:trPr>
          <w:trHeight w:val="302"/>
        </w:trPr>
        <w:tc>
          <w:tcPr>
            <w:tcW w:w="3031" w:type="dxa"/>
            <w:tcBorders>
              <w:top w:val="nil"/>
              <w:left w:val="nil"/>
              <w:bottom w:val="nil"/>
              <w:right w:val="nil"/>
            </w:tcBorders>
            <w:shd w:val="clear" w:color="auto" w:fill="auto"/>
            <w:noWrap/>
            <w:vAlign w:val="center"/>
            <w:hideMark/>
          </w:tcPr>
          <w:p w14:paraId="12A86E68" w14:textId="77777777" w:rsidR="0064379B" w:rsidRPr="00E21717" w:rsidRDefault="0064379B" w:rsidP="0040107F">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Intesa</w:t>
            </w:r>
            <w:proofErr w:type="spellEnd"/>
            <w:r w:rsidRPr="00E21717">
              <w:rPr>
                <w:rFonts w:ascii="dcr10" w:eastAsia="Times New Roman" w:hAnsi="dcr10" w:cs="Times New Roman"/>
                <w:color w:val="000000"/>
                <w:sz w:val="18"/>
                <w:szCs w:val="18"/>
              </w:rPr>
              <w:t xml:space="preserve"> </w:t>
            </w:r>
            <w:proofErr w:type="spellStart"/>
            <w:r w:rsidRPr="00E21717">
              <w:rPr>
                <w:rFonts w:ascii="dcr10" w:eastAsia="Times New Roman" w:hAnsi="dcr10" w:cs="Times New Roman"/>
                <w:color w:val="000000"/>
                <w:sz w:val="18"/>
                <w:szCs w:val="18"/>
              </w:rPr>
              <w:t>Sanpaolo</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62A043FA" w14:textId="0A352E7B"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13.20</w:t>
            </w:r>
          </w:p>
        </w:tc>
        <w:tc>
          <w:tcPr>
            <w:tcW w:w="2041" w:type="dxa"/>
            <w:tcBorders>
              <w:top w:val="nil"/>
              <w:left w:val="nil"/>
              <w:bottom w:val="nil"/>
              <w:right w:val="nil"/>
            </w:tcBorders>
            <w:shd w:val="clear" w:color="auto" w:fill="auto"/>
            <w:noWrap/>
            <w:vAlign w:val="center"/>
            <w:hideMark/>
          </w:tcPr>
          <w:p w14:paraId="395CB080" w14:textId="17608266"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19.61</w:t>
            </w:r>
          </w:p>
        </w:tc>
        <w:tc>
          <w:tcPr>
            <w:tcW w:w="1536" w:type="dxa"/>
            <w:tcBorders>
              <w:top w:val="nil"/>
              <w:left w:val="nil"/>
              <w:bottom w:val="nil"/>
              <w:right w:val="nil"/>
            </w:tcBorders>
            <w:shd w:val="clear" w:color="auto" w:fill="auto"/>
            <w:noWrap/>
            <w:vAlign w:val="center"/>
            <w:hideMark/>
          </w:tcPr>
          <w:p w14:paraId="33EC00CF" w14:textId="4B216797"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12.83</w:t>
            </w:r>
          </w:p>
        </w:tc>
      </w:tr>
      <w:tr w:rsidR="0064379B" w:rsidRPr="00E21717" w14:paraId="19E2B45D" w14:textId="77777777" w:rsidTr="0040107F">
        <w:trPr>
          <w:trHeight w:val="302"/>
        </w:trPr>
        <w:tc>
          <w:tcPr>
            <w:tcW w:w="3031" w:type="dxa"/>
            <w:tcBorders>
              <w:top w:val="nil"/>
              <w:left w:val="nil"/>
              <w:bottom w:val="nil"/>
              <w:right w:val="nil"/>
            </w:tcBorders>
            <w:shd w:val="clear" w:color="auto" w:fill="auto"/>
            <w:noWrap/>
            <w:vAlign w:val="center"/>
            <w:hideMark/>
          </w:tcPr>
          <w:p w14:paraId="797081D3" w14:textId="77777777" w:rsidR="0064379B" w:rsidRPr="00E21717" w:rsidRDefault="0064379B"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Lloyds Banking Group </w:t>
            </w:r>
          </w:p>
        </w:tc>
        <w:tc>
          <w:tcPr>
            <w:tcW w:w="1879" w:type="dxa"/>
            <w:tcBorders>
              <w:top w:val="nil"/>
              <w:left w:val="nil"/>
              <w:bottom w:val="nil"/>
              <w:right w:val="nil"/>
            </w:tcBorders>
            <w:shd w:val="clear" w:color="auto" w:fill="auto"/>
            <w:noWrap/>
            <w:vAlign w:val="center"/>
            <w:hideMark/>
          </w:tcPr>
          <w:p w14:paraId="6C31745C" w14:textId="2D398DAA"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9.77</w:t>
            </w:r>
          </w:p>
        </w:tc>
        <w:tc>
          <w:tcPr>
            <w:tcW w:w="2041" w:type="dxa"/>
            <w:tcBorders>
              <w:top w:val="nil"/>
              <w:left w:val="nil"/>
              <w:bottom w:val="nil"/>
              <w:right w:val="nil"/>
            </w:tcBorders>
            <w:shd w:val="clear" w:color="auto" w:fill="auto"/>
            <w:noWrap/>
            <w:vAlign w:val="center"/>
            <w:hideMark/>
          </w:tcPr>
          <w:p w14:paraId="4049DF3D" w14:textId="34C16D96"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27.39</w:t>
            </w:r>
          </w:p>
        </w:tc>
        <w:tc>
          <w:tcPr>
            <w:tcW w:w="1536" w:type="dxa"/>
            <w:tcBorders>
              <w:top w:val="nil"/>
              <w:left w:val="nil"/>
              <w:bottom w:val="nil"/>
              <w:right w:val="nil"/>
            </w:tcBorders>
            <w:shd w:val="clear" w:color="auto" w:fill="auto"/>
            <w:noWrap/>
            <w:vAlign w:val="center"/>
            <w:hideMark/>
          </w:tcPr>
          <w:p w14:paraId="6D05FDB3" w14:textId="3929BDD2"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13.01</w:t>
            </w:r>
          </w:p>
        </w:tc>
      </w:tr>
      <w:tr w:rsidR="0064379B" w:rsidRPr="00E21717" w14:paraId="1CE9C931" w14:textId="77777777" w:rsidTr="0040107F">
        <w:trPr>
          <w:trHeight w:val="302"/>
        </w:trPr>
        <w:tc>
          <w:tcPr>
            <w:tcW w:w="3031" w:type="dxa"/>
            <w:tcBorders>
              <w:top w:val="nil"/>
              <w:left w:val="nil"/>
              <w:bottom w:val="nil"/>
              <w:right w:val="nil"/>
            </w:tcBorders>
            <w:shd w:val="clear" w:color="auto" w:fill="auto"/>
            <w:noWrap/>
            <w:vAlign w:val="center"/>
            <w:hideMark/>
          </w:tcPr>
          <w:p w14:paraId="292E22D6" w14:textId="77777777" w:rsidR="0064379B" w:rsidRPr="00E21717" w:rsidRDefault="0064379B" w:rsidP="0040107F">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Mitsubishi Financial Group </w:t>
            </w:r>
          </w:p>
        </w:tc>
        <w:tc>
          <w:tcPr>
            <w:tcW w:w="1879" w:type="dxa"/>
            <w:tcBorders>
              <w:top w:val="nil"/>
              <w:left w:val="nil"/>
              <w:bottom w:val="nil"/>
              <w:right w:val="nil"/>
            </w:tcBorders>
            <w:shd w:val="clear" w:color="auto" w:fill="auto"/>
            <w:noWrap/>
            <w:vAlign w:val="center"/>
            <w:hideMark/>
          </w:tcPr>
          <w:p w14:paraId="69FB376B" w14:textId="5646ADD2"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16.97</w:t>
            </w:r>
          </w:p>
        </w:tc>
        <w:tc>
          <w:tcPr>
            <w:tcW w:w="2041" w:type="dxa"/>
            <w:tcBorders>
              <w:top w:val="nil"/>
              <w:left w:val="nil"/>
              <w:bottom w:val="nil"/>
              <w:right w:val="nil"/>
            </w:tcBorders>
            <w:shd w:val="clear" w:color="auto" w:fill="auto"/>
            <w:noWrap/>
            <w:vAlign w:val="center"/>
            <w:hideMark/>
          </w:tcPr>
          <w:p w14:paraId="6589EF3E" w14:textId="4242E19A"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8.19</w:t>
            </w:r>
          </w:p>
        </w:tc>
        <w:tc>
          <w:tcPr>
            <w:tcW w:w="1536" w:type="dxa"/>
            <w:tcBorders>
              <w:top w:val="nil"/>
              <w:left w:val="nil"/>
              <w:bottom w:val="nil"/>
              <w:right w:val="nil"/>
            </w:tcBorders>
            <w:shd w:val="clear" w:color="auto" w:fill="auto"/>
            <w:noWrap/>
            <w:vAlign w:val="center"/>
            <w:hideMark/>
          </w:tcPr>
          <w:p w14:paraId="77AC0286" w14:textId="43C2B15E"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4.62</w:t>
            </w:r>
          </w:p>
        </w:tc>
      </w:tr>
      <w:tr w:rsidR="0064379B" w:rsidRPr="00E21717" w14:paraId="5D9F6EB6" w14:textId="77777777" w:rsidTr="0040107F">
        <w:trPr>
          <w:trHeight w:val="302"/>
        </w:trPr>
        <w:tc>
          <w:tcPr>
            <w:tcW w:w="3031" w:type="dxa"/>
            <w:tcBorders>
              <w:top w:val="nil"/>
              <w:left w:val="nil"/>
              <w:bottom w:val="nil"/>
              <w:right w:val="nil"/>
            </w:tcBorders>
            <w:shd w:val="clear" w:color="auto" w:fill="auto"/>
            <w:noWrap/>
            <w:vAlign w:val="center"/>
            <w:hideMark/>
          </w:tcPr>
          <w:p w14:paraId="4FD80FAD" w14:textId="77777777" w:rsidR="0064379B" w:rsidRPr="00E21717" w:rsidRDefault="0064379B"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Mizuho Financial Group </w:t>
            </w:r>
          </w:p>
        </w:tc>
        <w:tc>
          <w:tcPr>
            <w:tcW w:w="1879" w:type="dxa"/>
            <w:tcBorders>
              <w:top w:val="nil"/>
              <w:left w:val="nil"/>
              <w:bottom w:val="nil"/>
              <w:right w:val="nil"/>
            </w:tcBorders>
            <w:shd w:val="clear" w:color="auto" w:fill="auto"/>
            <w:noWrap/>
            <w:vAlign w:val="center"/>
            <w:hideMark/>
          </w:tcPr>
          <w:p w14:paraId="2EDE4680" w14:textId="0C80034F"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17.59</w:t>
            </w:r>
          </w:p>
        </w:tc>
        <w:tc>
          <w:tcPr>
            <w:tcW w:w="2041" w:type="dxa"/>
            <w:tcBorders>
              <w:top w:val="nil"/>
              <w:left w:val="nil"/>
              <w:bottom w:val="nil"/>
              <w:right w:val="nil"/>
            </w:tcBorders>
            <w:shd w:val="clear" w:color="auto" w:fill="auto"/>
            <w:noWrap/>
            <w:vAlign w:val="center"/>
            <w:hideMark/>
          </w:tcPr>
          <w:p w14:paraId="2043707F" w14:textId="124AAF97"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8.42</w:t>
            </w:r>
          </w:p>
        </w:tc>
        <w:tc>
          <w:tcPr>
            <w:tcW w:w="1536" w:type="dxa"/>
            <w:tcBorders>
              <w:top w:val="nil"/>
              <w:left w:val="nil"/>
              <w:bottom w:val="nil"/>
              <w:right w:val="nil"/>
            </w:tcBorders>
            <w:shd w:val="clear" w:color="auto" w:fill="auto"/>
            <w:noWrap/>
            <w:vAlign w:val="center"/>
            <w:hideMark/>
          </w:tcPr>
          <w:p w14:paraId="563F835D" w14:textId="72810D45"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0.36</w:t>
            </w:r>
          </w:p>
        </w:tc>
      </w:tr>
      <w:tr w:rsidR="0064379B" w:rsidRPr="00E21717" w14:paraId="0CB70B8B" w14:textId="77777777" w:rsidTr="0040107F">
        <w:trPr>
          <w:trHeight w:val="302"/>
        </w:trPr>
        <w:tc>
          <w:tcPr>
            <w:tcW w:w="3031" w:type="dxa"/>
            <w:tcBorders>
              <w:top w:val="nil"/>
              <w:left w:val="nil"/>
              <w:bottom w:val="nil"/>
              <w:right w:val="nil"/>
            </w:tcBorders>
            <w:shd w:val="clear" w:color="auto" w:fill="auto"/>
            <w:noWrap/>
            <w:vAlign w:val="center"/>
            <w:hideMark/>
          </w:tcPr>
          <w:p w14:paraId="4867137C" w14:textId="77777777" w:rsidR="0064379B" w:rsidRPr="00E21717" w:rsidRDefault="0064379B" w:rsidP="0040107F">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Natixis</w:t>
            </w:r>
            <w:proofErr w:type="spellEnd"/>
          </w:p>
        </w:tc>
        <w:tc>
          <w:tcPr>
            <w:tcW w:w="1879" w:type="dxa"/>
            <w:tcBorders>
              <w:top w:val="nil"/>
              <w:left w:val="nil"/>
              <w:bottom w:val="nil"/>
              <w:right w:val="nil"/>
            </w:tcBorders>
            <w:shd w:val="clear" w:color="auto" w:fill="auto"/>
            <w:noWrap/>
            <w:vAlign w:val="center"/>
            <w:hideMark/>
          </w:tcPr>
          <w:p w14:paraId="35634DF2" w14:textId="260BB568"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1.22</w:t>
            </w:r>
          </w:p>
        </w:tc>
        <w:tc>
          <w:tcPr>
            <w:tcW w:w="2041" w:type="dxa"/>
            <w:tcBorders>
              <w:top w:val="nil"/>
              <w:left w:val="nil"/>
              <w:bottom w:val="nil"/>
              <w:right w:val="nil"/>
            </w:tcBorders>
            <w:shd w:val="clear" w:color="auto" w:fill="auto"/>
            <w:noWrap/>
            <w:vAlign w:val="center"/>
            <w:hideMark/>
          </w:tcPr>
          <w:p w14:paraId="3DB204D8" w14:textId="48991E64"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25.07</w:t>
            </w:r>
          </w:p>
        </w:tc>
        <w:tc>
          <w:tcPr>
            <w:tcW w:w="1536" w:type="dxa"/>
            <w:tcBorders>
              <w:top w:val="nil"/>
              <w:left w:val="nil"/>
              <w:bottom w:val="nil"/>
              <w:right w:val="nil"/>
            </w:tcBorders>
            <w:shd w:val="clear" w:color="auto" w:fill="auto"/>
            <w:noWrap/>
            <w:vAlign w:val="center"/>
            <w:hideMark/>
          </w:tcPr>
          <w:p w14:paraId="7170BAB1" w14:textId="48C44BB2"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14.44</w:t>
            </w:r>
          </w:p>
        </w:tc>
      </w:tr>
      <w:tr w:rsidR="0064379B" w:rsidRPr="00E21717" w14:paraId="21B0D85C" w14:textId="77777777" w:rsidTr="0040107F">
        <w:trPr>
          <w:trHeight w:val="282"/>
        </w:trPr>
        <w:tc>
          <w:tcPr>
            <w:tcW w:w="3031" w:type="dxa"/>
            <w:tcBorders>
              <w:top w:val="nil"/>
              <w:left w:val="nil"/>
              <w:bottom w:val="nil"/>
              <w:right w:val="nil"/>
            </w:tcBorders>
            <w:shd w:val="clear" w:color="auto" w:fill="auto"/>
            <w:noWrap/>
            <w:vAlign w:val="center"/>
            <w:hideMark/>
          </w:tcPr>
          <w:p w14:paraId="6542950E" w14:textId="77777777" w:rsidR="0064379B" w:rsidRPr="00E21717" w:rsidRDefault="0064379B"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National Australia Bank </w:t>
            </w:r>
          </w:p>
        </w:tc>
        <w:tc>
          <w:tcPr>
            <w:tcW w:w="1879" w:type="dxa"/>
            <w:tcBorders>
              <w:top w:val="nil"/>
              <w:left w:val="nil"/>
              <w:bottom w:val="nil"/>
              <w:right w:val="nil"/>
            </w:tcBorders>
            <w:shd w:val="clear" w:color="auto" w:fill="auto"/>
            <w:noWrap/>
            <w:vAlign w:val="center"/>
            <w:hideMark/>
          </w:tcPr>
          <w:p w14:paraId="465D37D1" w14:textId="3ACB00B0"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6.41</w:t>
            </w:r>
          </w:p>
        </w:tc>
        <w:tc>
          <w:tcPr>
            <w:tcW w:w="2041" w:type="dxa"/>
            <w:tcBorders>
              <w:top w:val="nil"/>
              <w:left w:val="nil"/>
              <w:bottom w:val="nil"/>
              <w:right w:val="nil"/>
            </w:tcBorders>
            <w:shd w:val="clear" w:color="auto" w:fill="auto"/>
            <w:noWrap/>
            <w:vAlign w:val="center"/>
            <w:hideMark/>
          </w:tcPr>
          <w:p w14:paraId="01331ED4" w14:textId="05CAF2D8"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7.19</w:t>
            </w:r>
          </w:p>
        </w:tc>
        <w:tc>
          <w:tcPr>
            <w:tcW w:w="1536" w:type="dxa"/>
            <w:tcBorders>
              <w:top w:val="nil"/>
              <w:left w:val="nil"/>
              <w:bottom w:val="nil"/>
              <w:right w:val="nil"/>
            </w:tcBorders>
            <w:shd w:val="clear" w:color="auto" w:fill="auto"/>
            <w:noWrap/>
            <w:vAlign w:val="center"/>
            <w:hideMark/>
          </w:tcPr>
          <w:p w14:paraId="21324C96" w14:textId="5806213C"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4.85</w:t>
            </w:r>
          </w:p>
        </w:tc>
      </w:tr>
      <w:tr w:rsidR="0064379B" w:rsidRPr="00E21717" w14:paraId="670C60D0" w14:textId="77777777" w:rsidTr="0040107F">
        <w:trPr>
          <w:trHeight w:val="302"/>
        </w:trPr>
        <w:tc>
          <w:tcPr>
            <w:tcW w:w="3031" w:type="dxa"/>
            <w:tcBorders>
              <w:top w:val="nil"/>
              <w:left w:val="nil"/>
              <w:bottom w:val="nil"/>
              <w:right w:val="nil"/>
            </w:tcBorders>
            <w:shd w:val="clear" w:color="auto" w:fill="auto"/>
            <w:noWrap/>
            <w:vAlign w:val="center"/>
            <w:hideMark/>
          </w:tcPr>
          <w:p w14:paraId="1868F370" w14:textId="77777777" w:rsidR="0064379B" w:rsidRPr="00E21717" w:rsidRDefault="0064379B" w:rsidP="0040107F">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Nordea</w:t>
            </w:r>
            <w:proofErr w:type="spellEnd"/>
            <w:r w:rsidRPr="00E21717">
              <w:rPr>
                <w:rFonts w:ascii="dcr10" w:eastAsia="Times New Roman" w:hAnsi="dcr10" w:cs="Times New Roman"/>
                <w:color w:val="000000"/>
                <w:sz w:val="18"/>
                <w:szCs w:val="18"/>
              </w:rPr>
              <w:t xml:space="preserve"> Bank </w:t>
            </w:r>
          </w:p>
        </w:tc>
        <w:tc>
          <w:tcPr>
            <w:tcW w:w="1879" w:type="dxa"/>
            <w:tcBorders>
              <w:top w:val="nil"/>
              <w:left w:val="nil"/>
              <w:bottom w:val="nil"/>
              <w:right w:val="nil"/>
            </w:tcBorders>
            <w:shd w:val="clear" w:color="auto" w:fill="auto"/>
            <w:noWrap/>
            <w:vAlign w:val="center"/>
            <w:hideMark/>
          </w:tcPr>
          <w:p w14:paraId="0D4FDFC0" w14:textId="4F6F2510"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8.50</w:t>
            </w:r>
          </w:p>
        </w:tc>
        <w:tc>
          <w:tcPr>
            <w:tcW w:w="2041" w:type="dxa"/>
            <w:tcBorders>
              <w:top w:val="nil"/>
              <w:left w:val="nil"/>
              <w:bottom w:val="nil"/>
              <w:right w:val="nil"/>
            </w:tcBorders>
            <w:shd w:val="clear" w:color="auto" w:fill="auto"/>
            <w:noWrap/>
            <w:vAlign w:val="center"/>
            <w:hideMark/>
          </w:tcPr>
          <w:p w14:paraId="4C479297" w14:textId="1C236D0D"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7.27</w:t>
            </w:r>
          </w:p>
        </w:tc>
        <w:tc>
          <w:tcPr>
            <w:tcW w:w="1536" w:type="dxa"/>
            <w:tcBorders>
              <w:top w:val="nil"/>
              <w:left w:val="nil"/>
              <w:bottom w:val="nil"/>
              <w:right w:val="nil"/>
            </w:tcBorders>
            <w:shd w:val="clear" w:color="auto" w:fill="auto"/>
            <w:noWrap/>
            <w:vAlign w:val="center"/>
            <w:hideMark/>
          </w:tcPr>
          <w:p w14:paraId="70CF9823" w14:textId="726D5FE9"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4.37</w:t>
            </w:r>
          </w:p>
        </w:tc>
      </w:tr>
      <w:tr w:rsidR="0064379B" w:rsidRPr="00E21717" w14:paraId="7C1D8729" w14:textId="77777777" w:rsidTr="0040107F">
        <w:trPr>
          <w:trHeight w:val="302"/>
        </w:trPr>
        <w:tc>
          <w:tcPr>
            <w:tcW w:w="3031" w:type="dxa"/>
            <w:tcBorders>
              <w:top w:val="nil"/>
              <w:left w:val="nil"/>
              <w:bottom w:val="nil"/>
              <w:right w:val="nil"/>
            </w:tcBorders>
            <w:shd w:val="clear" w:color="auto" w:fill="auto"/>
            <w:noWrap/>
            <w:vAlign w:val="center"/>
            <w:hideMark/>
          </w:tcPr>
          <w:p w14:paraId="60EAED31" w14:textId="77777777" w:rsidR="0064379B" w:rsidRPr="00E21717" w:rsidRDefault="0064379B"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Bank of Nova Scotia</w:t>
            </w:r>
          </w:p>
        </w:tc>
        <w:tc>
          <w:tcPr>
            <w:tcW w:w="1879" w:type="dxa"/>
            <w:tcBorders>
              <w:top w:val="nil"/>
              <w:left w:val="nil"/>
              <w:bottom w:val="nil"/>
              <w:right w:val="nil"/>
            </w:tcBorders>
            <w:shd w:val="clear" w:color="auto" w:fill="auto"/>
            <w:noWrap/>
            <w:vAlign w:val="center"/>
            <w:hideMark/>
          </w:tcPr>
          <w:p w14:paraId="2F9A64A4" w14:textId="3E2DFF58"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3.64</w:t>
            </w:r>
          </w:p>
        </w:tc>
        <w:tc>
          <w:tcPr>
            <w:tcW w:w="2041" w:type="dxa"/>
            <w:tcBorders>
              <w:top w:val="nil"/>
              <w:left w:val="nil"/>
              <w:bottom w:val="nil"/>
              <w:right w:val="nil"/>
            </w:tcBorders>
            <w:shd w:val="clear" w:color="auto" w:fill="auto"/>
            <w:noWrap/>
            <w:vAlign w:val="center"/>
            <w:hideMark/>
          </w:tcPr>
          <w:p w14:paraId="5113BA60" w14:textId="30D83C3B"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3.22</w:t>
            </w:r>
          </w:p>
        </w:tc>
        <w:tc>
          <w:tcPr>
            <w:tcW w:w="1536" w:type="dxa"/>
            <w:tcBorders>
              <w:top w:val="nil"/>
              <w:left w:val="nil"/>
              <w:bottom w:val="nil"/>
              <w:right w:val="nil"/>
            </w:tcBorders>
            <w:shd w:val="clear" w:color="auto" w:fill="auto"/>
            <w:noWrap/>
            <w:vAlign w:val="center"/>
            <w:hideMark/>
          </w:tcPr>
          <w:p w14:paraId="7CE1C3B2" w14:textId="0D90CF65"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1.93</w:t>
            </w:r>
          </w:p>
        </w:tc>
      </w:tr>
      <w:tr w:rsidR="0064379B" w:rsidRPr="00E21717" w14:paraId="6BEAB8FB" w14:textId="77777777" w:rsidTr="0040107F">
        <w:trPr>
          <w:trHeight w:val="302"/>
        </w:trPr>
        <w:tc>
          <w:tcPr>
            <w:tcW w:w="3031" w:type="dxa"/>
            <w:tcBorders>
              <w:top w:val="nil"/>
              <w:left w:val="nil"/>
              <w:bottom w:val="nil"/>
              <w:right w:val="nil"/>
            </w:tcBorders>
            <w:shd w:val="clear" w:color="auto" w:fill="auto"/>
            <w:noWrap/>
            <w:vAlign w:val="center"/>
            <w:hideMark/>
          </w:tcPr>
          <w:p w14:paraId="13D727B5" w14:textId="77777777" w:rsidR="0064379B" w:rsidRPr="00E21717" w:rsidRDefault="0064379B" w:rsidP="0040107F">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Royal Bank of Canada </w:t>
            </w:r>
          </w:p>
        </w:tc>
        <w:tc>
          <w:tcPr>
            <w:tcW w:w="1879" w:type="dxa"/>
            <w:tcBorders>
              <w:top w:val="nil"/>
              <w:left w:val="nil"/>
              <w:bottom w:val="nil"/>
              <w:right w:val="nil"/>
            </w:tcBorders>
            <w:shd w:val="clear" w:color="auto" w:fill="auto"/>
            <w:noWrap/>
            <w:vAlign w:val="center"/>
            <w:hideMark/>
          </w:tcPr>
          <w:p w14:paraId="401B0F50" w14:textId="58FB5702"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4.35</w:t>
            </w:r>
          </w:p>
        </w:tc>
        <w:tc>
          <w:tcPr>
            <w:tcW w:w="2041" w:type="dxa"/>
            <w:tcBorders>
              <w:top w:val="nil"/>
              <w:left w:val="nil"/>
              <w:bottom w:val="nil"/>
              <w:right w:val="nil"/>
            </w:tcBorders>
            <w:shd w:val="clear" w:color="auto" w:fill="auto"/>
            <w:noWrap/>
            <w:vAlign w:val="center"/>
            <w:hideMark/>
          </w:tcPr>
          <w:p w14:paraId="6927519E" w14:textId="6BE47D03"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4.27</w:t>
            </w:r>
          </w:p>
        </w:tc>
        <w:tc>
          <w:tcPr>
            <w:tcW w:w="1536" w:type="dxa"/>
            <w:tcBorders>
              <w:top w:val="nil"/>
              <w:left w:val="nil"/>
              <w:bottom w:val="nil"/>
              <w:right w:val="nil"/>
            </w:tcBorders>
            <w:shd w:val="clear" w:color="auto" w:fill="auto"/>
            <w:noWrap/>
            <w:vAlign w:val="center"/>
            <w:hideMark/>
          </w:tcPr>
          <w:p w14:paraId="24730745" w14:textId="19E640DA"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2.48</w:t>
            </w:r>
          </w:p>
        </w:tc>
      </w:tr>
      <w:tr w:rsidR="0064379B" w:rsidRPr="00E21717" w14:paraId="431269A3" w14:textId="77777777" w:rsidTr="0040107F">
        <w:trPr>
          <w:trHeight w:val="302"/>
        </w:trPr>
        <w:tc>
          <w:tcPr>
            <w:tcW w:w="3031" w:type="dxa"/>
            <w:tcBorders>
              <w:top w:val="nil"/>
              <w:left w:val="nil"/>
              <w:bottom w:val="nil"/>
              <w:right w:val="nil"/>
            </w:tcBorders>
            <w:shd w:val="clear" w:color="auto" w:fill="auto"/>
            <w:noWrap/>
            <w:vAlign w:val="center"/>
            <w:hideMark/>
          </w:tcPr>
          <w:p w14:paraId="26C76A00" w14:textId="77777777" w:rsidR="0064379B" w:rsidRPr="00E21717" w:rsidRDefault="0064379B"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Royal Bank of Scotland </w:t>
            </w:r>
          </w:p>
        </w:tc>
        <w:tc>
          <w:tcPr>
            <w:tcW w:w="1879" w:type="dxa"/>
            <w:tcBorders>
              <w:top w:val="nil"/>
              <w:left w:val="nil"/>
              <w:bottom w:val="nil"/>
              <w:right w:val="nil"/>
            </w:tcBorders>
            <w:shd w:val="clear" w:color="auto" w:fill="auto"/>
            <w:noWrap/>
            <w:vAlign w:val="center"/>
            <w:hideMark/>
          </w:tcPr>
          <w:p w14:paraId="4B3A3C5E" w14:textId="3D45D1E7"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9.53</w:t>
            </w:r>
          </w:p>
        </w:tc>
        <w:tc>
          <w:tcPr>
            <w:tcW w:w="2041" w:type="dxa"/>
            <w:tcBorders>
              <w:top w:val="nil"/>
              <w:left w:val="nil"/>
              <w:bottom w:val="nil"/>
              <w:right w:val="nil"/>
            </w:tcBorders>
            <w:shd w:val="clear" w:color="auto" w:fill="auto"/>
            <w:noWrap/>
            <w:vAlign w:val="center"/>
            <w:hideMark/>
          </w:tcPr>
          <w:p w14:paraId="142ACF19" w14:textId="18237657"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30.75</w:t>
            </w:r>
          </w:p>
        </w:tc>
        <w:tc>
          <w:tcPr>
            <w:tcW w:w="1536" w:type="dxa"/>
            <w:tcBorders>
              <w:top w:val="nil"/>
              <w:left w:val="nil"/>
              <w:bottom w:val="nil"/>
              <w:right w:val="nil"/>
            </w:tcBorders>
            <w:shd w:val="clear" w:color="auto" w:fill="auto"/>
            <w:noWrap/>
            <w:vAlign w:val="center"/>
            <w:hideMark/>
          </w:tcPr>
          <w:p w14:paraId="4957A99B" w14:textId="4AE88F49"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20.94</w:t>
            </w:r>
          </w:p>
        </w:tc>
      </w:tr>
      <w:tr w:rsidR="0064379B" w:rsidRPr="00E21717" w14:paraId="7991EB8C" w14:textId="77777777" w:rsidTr="0040107F">
        <w:trPr>
          <w:trHeight w:val="302"/>
        </w:trPr>
        <w:tc>
          <w:tcPr>
            <w:tcW w:w="3031" w:type="dxa"/>
            <w:tcBorders>
              <w:top w:val="nil"/>
              <w:left w:val="nil"/>
              <w:bottom w:val="nil"/>
              <w:right w:val="nil"/>
            </w:tcBorders>
            <w:shd w:val="clear" w:color="auto" w:fill="auto"/>
            <w:noWrap/>
            <w:vAlign w:val="center"/>
            <w:hideMark/>
          </w:tcPr>
          <w:p w14:paraId="346B733F" w14:textId="77777777" w:rsidR="0064379B" w:rsidRPr="00E21717" w:rsidRDefault="0064379B" w:rsidP="0040107F">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Banco</w:t>
            </w:r>
            <w:proofErr w:type="spellEnd"/>
            <w:r w:rsidRPr="00E21717">
              <w:rPr>
                <w:rFonts w:ascii="dcr10" w:eastAsia="Times New Roman" w:hAnsi="dcr10" w:cs="Times New Roman"/>
                <w:color w:val="000000"/>
                <w:sz w:val="18"/>
                <w:szCs w:val="18"/>
              </w:rPr>
              <w:t xml:space="preserve"> Santander</w:t>
            </w:r>
          </w:p>
        </w:tc>
        <w:tc>
          <w:tcPr>
            <w:tcW w:w="1879" w:type="dxa"/>
            <w:tcBorders>
              <w:top w:val="nil"/>
              <w:left w:val="nil"/>
              <w:bottom w:val="nil"/>
              <w:right w:val="nil"/>
            </w:tcBorders>
            <w:shd w:val="clear" w:color="auto" w:fill="auto"/>
            <w:noWrap/>
            <w:vAlign w:val="center"/>
            <w:hideMark/>
          </w:tcPr>
          <w:p w14:paraId="19311A58" w14:textId="19A6C0E4"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9.44</w:t>
            </w:r>
          </w:p>
        </w:tc>
        <w:tc>
          <w:tcPr>
            <w:tcW w:w="2041" w:type="dxa"/>
            <w:tcBorders>
              <w:top w:val="nil"/>
              <w:left w:val="nil"/>
              <w:bottom w:val="nil"/>
              <w:right w:val="nil"/>
            </w:tcBorders>
            <w:shd w:val="clear" w:color="auto" w:fill="auto"/>
            <w:noWrap/>
            <w:vAlign w:val="center"/>
            <w:hideMark/>
          </w:tcPr>
          <w:p w14:paraId="0BCC6F60" w14:textId="732AD241"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10.61</w:t>
            </w:r>
          </w:p>
        </w:tc>
        <w:tc>
          <w:tcPr>
            <w:tcW w:w="1536" w:type="dxa"/>
            <w:tcBorders>
              <w:top w:val="nil"/>
              <w:left w:val="nil"/>
              <w:bottom w:val="nil"/>
              <w:right w:val="nil"/>
            </w:tcBorders>
            <w:shd w:val="clear" w:color="auto" w:fill="auto"/>
            <w:noWrap/>
            <w:vAlign w:val="center"/>
            <w:hideMark/>
          </w:tcPr>
          <w:p w14:paraId="3CD95B57" w14:textId="2BCCBC47"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5.45</w:t>
            </w:r>
          </w:p>
        </w:tc>
      </w:tr>
      <w:tr w:rsidR="0064379B" w:rsidRPr="00E21717" w14:paraId="43201F73" w14:textId="77777777" w:rsidTr="0040107F">
        <w:trPr>
          <w:trHeight w:val="302"/>
        </w:trPr>
        <w:tc>
          <w:tcPr>
            <w:tcW w:w="3031" w:type="dxa"/>
            <w:tcBorders>
              <w:top w:val="nil"/>
              <w:left w:val="nil"/>
              <w:bottom w:val="nil"/>
              <w:right w:val="nil"/>
            </w:tcBorders>
            <w:shd w:val="clear" w:color="auto" w:fill="auto"/>
            <w:noWrap/>
            <w:vAlign w:val="center"/>
            <w:hideMark/>
          </w:tcPr>
          <w:p w14:paraId="6E065CFB" w14:textId="77777777" w:rsidR="0064379B" w:rsidRPr="00E21717" w:rsidRDefault="0064379B" w:rsidP="0040107F">
            <w:pPr>
              <w:rPr>
                <w:rFonts w:ascii="dcr10" w:eastAsia="Times New Roman" w:hAnsi="dcr10" w:cs="Times New Roman"/>
                <w:color w:val="000000"/>
                <w:sz w:val="17"/>
                <w:szCs w:val="17"/>
              </w:rPr>
            </w:pPr>
            <w:proofErr w:type="spellStart"/>
            <w:r w:rsidRPr="00E21717">
              <w:rPr>
                <w:rFonts w:ascii="dcr10" w:eastAsia="Times New Roman" w:hAnsi="dcr10" w:cs="Times New Roman"/>
                <w:bCs/>
                <w:color w:val="000000"/>
                <w:sz w:val="18"/>
                <w:szCs w:val="18"/>
              </w:rPr>
              <w:t>Societe</w:t>
            </w:r>
            <w:proofErr w:type="spellEnd"/>
            <w:r w:rsidRPr="00E21717">
              <w:rPr>
                <w:rFonts w:ascii="dcr10" w:eastAsia="Times New Roman" w:hAnsi="dcr10" w:cs="Times New Roman"/>
                <w:bCs/>
                <w:color w:val="000000"/>
                <w:sz w:val="18"/>
                <w:szCs w:val="18"/>
              </w:rPr>
              <w:t xml:space="preserve"> </w:t>
            </w:r>
            <w:proofErr w:type="spellStart"/>
            <w:r w:rsidRPr="00E21717">
              <w:rPr>
                <w:rFonts w:ascii="dcr10" w:eastAsia="Times New Roman" w:hAnsi="dcr10" w:cs="Times New Roman"/>
                <w:bCs/>
                <w:color w:val="000000"/>
                <w:sz w:val="18"/>
                <w:szCs w:val="18"/>
              </w:rPr>
              <w:t>Generale</w:t>
            </w:r>
            <w:proofErr w:type="spellEnd"/>
            <w:r w:rsidRPr="00E21717">
              <w:rPr>
                <w:rFonts w:ascii="dcr10" w:eastAsia="Times New Roman" w:hAnsi="dcr10" w:cs="Times New Roman"/>
                <w:bCs/>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052A0498" w14:textId="6EC01384"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9.32</w:t>
            </w:r>
          </w:p>
        </w:tc>
        <w:tc>
          <w:tcPr>
            <w:tcW w:w="2041" w:type="dxa"/>
            <w:tcBorders>
              <w:top w:val="nil"/>
              <w:left w:val="nil"/>
              <w:bottom w:val="nil"/>
              <w:right w:val="nil"/>
            </w:tcBorders>
            <w:shd w:val="clear" w:color="auto" w:fill="auto"/>
            <w:noWrap/>
            <w:vAlign w:val="center"/>
            <w:hideMark/>
          </w:tcPr>
          <w:p w14:paraId="37FEF4FD" w14:textId="06573A71"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26.62</w:t>
            </w:r>
          </w:p>
        </w:tc>
        <w:tc>
          <w:tcPr>
            <w:tcW w:w="1536" w:type="dxa"/>
            <w:tcBorders>
              <w:top w:val="nil"/>
              <w:left w:val="nil"/>
              <w:bottom w:val="nil"/>
              <w:right w:val="nil"/>
            </w:tcBorders>
            <w:shd w:val="clear" w:color="auto" w:fill="auto"/>
            <w:noWrap/>
            <w:vAlign w:val="center"/>
            <w:hideMark/>
          </w:tcPr>
          <w:p w14:paraId="4B096979" w14:textId="3E37387B"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15.02</w:t>
            </w:r>
          </w:p>
        </w:tc>
      </w:tr>
      <w:tr w:rsidR="0064379B" w:rsidRPr="00E21717" w14:paraId="19AD2D4B" w14:textId="77777777" w:rsidTr="0040107F">
        <w:trPr>
          <w:trHeight w:val="302"/>
        </w:trPr>
        <w:tc>
          <w:tcPr>
            <w:tcW w:w="3031" w:type="dxa"/>
            <w:tcBorders>
              <w:top w:val="nil"/>
              <w:left w:val="nil"/>
              <w:bottom w:val="nil"/>
              <w:right w:val="nil"/>
            </w:tcBorders>
            <w:shd w:val="clear" w:color="auto" w:fill="auto"/>
            <w:noWrap/>
            <w:vAlign w:val="center"/>
            <w:hideMark/>
          </w:tcPr>
          <w:p w14:paraId="4263461C" w14:textId="77777777" w:rsidR="0064379B" w:rsidRPr="00E21717" w:rsidRDefault="0064379B" w:rsidP="0040107F">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Standered</w:t>
            </w:r>
            <w:proofErr w:type="spellEnd"/>
            <w:r w:rsidRPr="00E21717">
              <w:rPr>
                <w:rFonts w:ascii="dcr10" w:eastAsia="Times New Roman" w:hAnsi="dcr10" w:cs="Times New Roman"/>
                <w:color w:val="000000"/>
                <w:sz w:val="18"/>
                <w:szCs w:val="18"/>
              </w:rPr>
              <w:t xml:space="preserve"> Chartered </w:t>
            </w:r>
          </w:p>
        </w:tc>
        <w:tc>
          <w:tcPr>
            <w:tcW w:w="1879" w:type="dxa"/>
            <w:tcBorders>
              <w:top w:val="nil"/>
              <w:left w:val="nil"/>
              <w:bottom w:val="nil"/>
              <w:right w:val="nil"/>
            </w:tcBorders>
            <w:shd w:val="clear" w:color="auto" w:fill="auto"/>
            <w:noWrap/>
            <w:vAlign w:val="center"/>
            <w:hideMark/>
          </w:tcPr>
          <w:p w14:paraId="75857703" w14:textId="40E96114"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10.81</w:t>
            </w:r>
          </w:p>
        </w:tc>
        <w:tc>
          <w:tcPr>
            <w:tcW w:w="2041" w:type="dxa"/>
            <w:tcBorders>
              <w:top w:val="nil"/>
              <w:left w:val="nil"/>
              <w:bottom w:val="nil"/>
              <w:right w:val="nil"/>
            </w:tcBorders>
            <w:shd w:val="clear" w:color="auto" w:fill="auto"/>
            <w:noWrap/>
            <w:vAlign w:val="center"/>
            <w:hideMark/>
          </w:tcPr>
          <w:p w14:paraId="1C339BF0" w14:textId="039275F3"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14.78</w:t>
            </w:r>
          </w:p>
        </w:tc>
        <w:tc>
          <w:tcPr>
            <w:tcW w:w="1536" w:type="dxa"/>
            <w:tcBorders>
              <w:top w:val="nil"/>
              <w:left w:val="nil"/>
              <w:bottom w:val="nil"/>
              <w:right w:val="nil"/>
            </w:tcBorders>
            <w:shd w:val="clear" w:color="auto" w:fill="auto"/>
            <w:noWrap/>
            <w:vAlign w:val="center"/>
            <w:hideMark/>
          </w:tcPr>
          <w:p w14:paraId="02F204C2" w14:textId="7EB8F3AB"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11.14</w:t>
            </w:r>
          </w:p>
        </w:tc>
      </w:tr>
      <w:tr w:rsidR="0064379B" w:rsidRPr="00E21717" w14:paraId="5A23CEF4" w14:textId="77777777" w:rsidTr="0040107F">
        <w:trPr>
          <w:trHeight w:val="302"/>
        </w:trPr>
        <w:tc>
          <w:tcPr>
            <w:tcW w:w="3031" w:type="dxa"/>
            <w:tcBorders>
              <w:top w:val="nil"/>
              <w:left w:val="nil"/>
              <w:bottom w:val="nil"/>
              <w:right w:val="nil"/>
            </w:tcBorders>
            <w:shd w:val="clear" w:color="auto" w:fill="auto"/>
            <w:noWrap/>
            <w:vAlign w:val="center"/>
            <w:hideMark/>
          </w:tcPr>
          <w:p w14:paraId="23AF4D2C" w14:textId="77777777" w:rsidR="0064379B" w:rsidRPr="00E21717" w:rsidRDefault="0064379B"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Sumitomo Mitsui Financial </w:t>
            </w:r>
          </w:p>
        </w:tc>
        <w:tc>
          <w:tcPr>
            <w:tcW w:w="1879" w:type="dxa"/>
            <w:tcBorders>
              <w:top w:val="nil"/>
              <w:left w:val="nil"/>
              <w:bottom w:val="nil"/>
              <w:right w:val="nil"/>
            </w:tcBorders>
            <w:shd w:val="clear" w:color="auto" w:fill="auto"/>
            <w:noWrap/>
            <w:vAlign w:val="center"/>
            <w:hideMark/>
          </w:tcPr>
          <w:p w14:paraId="173060F0" w14:textId="6BC0888A"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17.08</w:t>
            </w:r>
          </w:p>
        </w:tc>
        <w:tc>
          <w:tcPr>
            <w:tcW w:w="2041" w:type="dxa"/>
            <w:tcBorders>
              <w:top w:val="nil"/>
              <w:left w:val="nil"/>
              <w:bottom w:val="nil"/>
              <w:right w:val="nil"/>
            </w:tcBorders>
            <w:shd w:val="clear" w:color="auto" w:fill="auto"/>
            <w:noWrap/>
            <w:vAlign w:val="center"/>
            <w:hideMark/>
          </w:tcPr>
          <w:p w14:paraId="36038365" w14:textId="7E411435"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8.79</w:t>
            </w:r>
          </w:p>
        </w:tc>
        <w:tc>
          <w:tcPr>
            <w:tcW w:w="1536" w:type="dxa"/>
            <w:tcBorders>
              <w:top w:val="nil"/>
              <w:left w:val="nil"/>
              <w:bottom w:val="nil"/>
              <w:right w:val="nil"/>
            </w:tcBorders>
            <w:shd w:val="clear" w:color="auto" w:fill="auto"/>
            <w:noWrap/>
            <w:vAlign w:val="center"/>
            <w:hideMark/>
          </w:tcPr>
          <w:p w14:paraId="3FD499F9" w14:textId="0BCCC97C"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5.15</w:t>
            </w:r>
          </w:p>
        </w:tc>
      </w:tr>
      <w:tr w:rsidR="0064379B" w:rsidRPr="00E21717" w14:paraId="7E147DCF" w14:textId="77777777" w:rsidTr="0040107F">
        <w:trPr>
          <w:trHeight w:val="302"/>
        </w:trPr>
        <w:tc>
          <w:tcPr>
            <w:tcW w:w="3031" w:type="dxa"/>
            <w:tcBorders>
              <w:top w:val="nil"/>
              <w:left w:val="nil"/>
              <w:bottom w:val="nil"/>
              <w:right w:val="nil"/>
            </w:tcBorders>
            <w:shd w:val="clear" w:color="auto" w:fill="auto"/>
            <w:noWrap/>
            <w:vAlign w:val="center"/>
            <w:hideMark/>
          </w:tcPr>
          <w:p w14:paraId="2AC75D41" w14:textId="77777777" w:rsidR="0064379B" w:rsidRPr="00E21717" w:rsidRDefault="0064379B" w:rsidP="0040107F">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Toronto-</w:t>
            </w:r>
            <w:proofErr w:type="spellStart"/>
            <w:r w:rsidRPr="00E21717">
              <w:rPr>
                <w:rFonts w:ascii="dcr10" w:eastAsia="Times New Roman" w:hAnsi="dcr10" w:cs="Times New Roman"/>
                <w:color w:val="000000"/>
                <w:sz w:val="18"/>
                <w:szCs w:val="18"/>
              </w:rPr>
              <w:t>Dominon</w:t>
            </w:r>
            <w:proofErr w:type="spellEnd"/>
            <w:r w:rsidRPr="00E21717">
              <w:rPr>
                <w:rFonts w:ascii="dcr10" w:eastAsia="Times New Roman" w:hAnsi="dcr10" w:cs="Times New Roman"/>
                <w:color w:val="000000"/>
                <w:sz w:val="18"/>
                <w:szCs w:val="18"/>
              </w:rPr>
              <w:t xml:space="preserve"> Group </w:t>
            </w:r>
          </w:p>
        </w:tc>
        <w:tc>
          <w:tcPr>
            <w:tcW w:w="1879" w:type="dxa"/>
            <w:tcBorders>
              <w:top w:val="nil"/>
              <w:left w:val="nil"/>
              <w:bottom w:val="nil"/>
              <w:right w:val="nil"/>
            </w:tcBorders>
            <w:shd w:val="clear" w:color="auto" w:fill="auto"/>
            <w:noWrap/>
            <w:vAlign w:val="center"/>
            <w:hideMark/>
          </w:tcPr>
          <w:p w14:paraId="3D514EB2" w14:textId="2BCE1DA6"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5.58</w:t>
            </w:r>
          </w:p>
        </w:tc>
        <w:tc>
          <w:tcPr>
            <w:tcW w:w="2041" w:type="dxa"/>
            <w:tcBorders>
              <w:top w:val="nil"/>
              <w:left w:val="nil"/>
              <w:bottom w:val="nil"/>
              <w:right w:val="nil"/>
            </w:tcBorders>
            <w:shd w:val="clear" w:color="auto" w:fill="auto"/>
            <w:noWrap/>
            <w:vAlign w:val="center"/>
            <w:hideMark/>
          </w:tcPr>
          <w:p w14:paraId="7344D276" w14:textId="243D53C5"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2.55</w:t>
            </w:r>
          </w:p>
        </w:tc>
        <w:tc>
          <w:tcPr>
            <w:tcW w:w="1536" w:type="dxa"/>
            <w:tcBorders>
              <w:top w:val="nil"/>
              <w:left w:val="nil"/>
              <w:bottom w:val="nil"/>
              <w:right w:val="nil"/>
            </w:tcBorders>
            <w:shd w:val="clear" w:color="auto" w:fill="auto"/>
            <w:noWrap/>
            <w:vAlign w:val="center"/>
            <w:hideMark/>
          </w:tcPr>
          <w:p w14:paraId="324AE3DE" w14:textId="07F4E17B"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1.27</w:t>
            </w:r>
          </w:p>
        </w:tc>
      </w:tr>
      <w:tr w:rsidR="0064379B" w:rsidRPr="00E21717" w14:paraId="22CC9997" w14:textId="77777777" w:rsidTr="0040107F">
        <w:trPr>
          <w:trHeight w:val="302"/>
        </w:trPr>
        <w:tc>
          <w:tcPr>
            <w:tcW w:w="3031" w:type="dxa"/>
            <w:tcBorders>
              <w:top w:val="nil"/>
              <w:left w:val="nil"/>
              <w:bottom w:val="nil"/>
              <w:right w:val="nil"/>
            </w:tcBorders>
            <w:shd w:val="clear" w:color="auto" w:fill="auto"/>
            <w:noWrap/>
            <w:vAlign w:val="center"/>
            <w:hideMark/>
          </w:tcPr>
          <w:p w14:paraId="732B56F2" w14:textId="77777777" w:rsidR="0064379B" w:rsidRPr="00E21717" w:rsidRDefault="0064379B"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UBS Group AG </w:t>
            </w:r>
          </w:p>
        </w:tc>
        <w:tc>
          <w:tcPr>
            <w:tcW w:w="1879" w:type="dxa"/>
            <w:tcBorders>
              <w:top w:val="nil"/>
              <w:left w:val="nil"/>
              <w:bottom w:val="nil"/>
              <w:right w:val="nil"/>
            </w:tcBorders>
            <w:shd w:val="clear" w:color="auto" w:fill="auto"/>
            <w:noWrap/>
            <w:vAlign w:val="center"/>
            <w:hideMark/>
          </w:tcPr>
          <w:p w14:paraId="60B37FB8" w14:textId="4413DA73"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7.65</w:t>
            </w:r>
          </w:p>
        </w:tc>
        <w:tc>
          <w:tcPr>
            <w:tcW w:w="2041" w:type="dxa"/>
            <w:tcBorders>
              <w:top w:val="nil"/>
              <w:left w:val="nil"/>
              <w:bottom w:val="nil"/>
              <w:right w:val="nil"/>
            </w:tcBorders>
            <w:shd w:val="clear" w:color="auto" w:fill="auto"/>
            <w:noWrap/>
            <w:vAlign w:val="center"/>
            <w:hideMark/>
          </w:tcPr>
          <w:p w14:paraId="61378EC8" w14:textId="690B4C57"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18.22</w:t>
            </w:r>
          </w:p>
        </w:tc>
        <w:tc>
          <w:tcPr>
            <w:tcW w:w="1536" w:type="dxa"/>
            <w:tcBorders>
              <w:top w:val="nil"/>
              <w:left w:val="nil"/>
              <w:bottom w:val="nil"/>
              <w:right w:val="nil"/>
            </w:tcBorders>
            <w:shd w:val="clear" w:color="auto" w:fill="auto"/>
            <w:noWrap/>
            <w:vAlign w:val="center"/>
            <w:hideMark/>
          </w:tcPr>
          <w:p w14:paraId="2B6D7FCD" w14:textId="7DCFCE0E"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11.15</w:t>
            </w:r>
          </w:p>
        </w:tc>
      </w:tr>
      <w:tr w:rsidR="0064379B" w:rsidRPr="00E21717" w14:paraId="5299DCAF" w14:textId="77777777" w:rsidTr="0040107F">
        <w:trPr>
          <w:trHeight w:val="302"/>
        </w:trPr>
        <w:tc>
          <w:tcPr>
            <w:tcW w:w="3031" w:type="dxa"/>
            <w:tcBorders>
              <w:top w:val="nil"/>
              <w:left w:val="nil"/>
              <w:bottom w:val="nil"/>
              <w:right w:val="nil"/>
            </w:tcBorders>
            <w:shd w:val="clear" w:color="auto" w:fill="auto"/>
            <w:noWrap/>
            <w:vAlign w:val="center"/>
            <w:hideMark/>
          </w:tcPr>
          <w:p w14:paraId="1E2CFF96" w14:textId="77777777" w:rsidR="0064379B" w:rsidRPr="00E21717" w:rsidRDefault="0064379B" w:rsidP="0040107F">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UniCredit</w:t>
            </w:r>
            <w:proofErr w:type="spellEnd"/>
            <w:r w:rsidRPr="00E21717">
              <w:rPr>
                <w:rFonts w:ascii="dcr10" w:eastAsia="Times New Roman" w:hAnsi="dcr10" w:cs="Times New Roman"/>
                <w:color w:val="000000"/>
                <w:sz w:val="18"/>
                <w:szCs w:val="18"/>
              </w:rPr>
              <w:t xml:space="preserve"> </w:t>
            </w:r>
            <w:proofErr w:type="spellStart"/>
            <w:r w:rsidRPr="00E21717">
              <w:rPr>
                <w:rFonts w:ascii="dcr10" w:eastAsia="Times New Roman" w:hAnsi="dcr10" w:cs="Times New Roman"/>
                <w:color w:val="000000"/>
                <w:sz w:val="18"/>
                <w:szCs w:val="18"/>
              </w:rPr>
              <w:t>S.p.A</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3F55ED24" w14:textId="2F2B1963"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6.02</w:t>
            </w:r>
          </w:p>
        </w:tc>
        <w:tc>
          <w:tcPr>
            <w:tcW w:w="2041" w:type="dxa"/>
            <w:tcBorders>
              <w:top w:val="nil"/>
              <w:left w:val="nil"/>
              <w:bottom w:val="nil"/>
              <w:right w:val="nil"/>
            </w:tcBorders>
            <w:shd w:val="clear" w:color="auto" w:fill="auto"/>
            <w:noWrap/>
            <w:vAlign w:val="center"/>
            <w:hideMark/>
          </w:tcPr>
          <w:p w14:paraId="5E775B23" w14:textId="55F4A7BE"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23.18</w:t>
            </w:r>
          </w:p>
        </w:tc>
        <w:tc>
          <w:tcPr>
            <w:tcW w:w="1536" w:type="dxa"/>
            <w:tcBorders>
              <w:top w:val="nil"/>
              <w:left w:val="nil"/>
              <w:bottom w:val="nil"/>
              <w:right w:val="nil"/>
            </w:tcBorders>
            <w:shd w:val="clear" w:color="auto" w:fill="auto"/>
            <w:noWrap/>
            <w:vAlign w:val="center"/>
            <w:hideMark/>
          </w:tcPr>
          <w:p w14:paraId="23F03E7C" w14:textId="0F3E819A"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13.90</w:t>
            </w:r>
          </w:p>
        </w:tc>
      </w:tr>
      <w:tr w:rsidR="0064379B" w:rsidRPr="00E21717" w14:paraId="7E8AC828" w14:textId="77777777" w:rsidTr="0040107F">
        <w:trPr>
          <w:trHeight w:val="302"/>
        </w:trPr>
        <w:tc>
          <w:tcPr>
            <w:tcW w:w="3031" w:type="dxa"/>
            <w:tcBorders>
              <w:top w:val="nil"/>
              <w:left w:val="nil"/>
              <w:bottom w:val="nil"/>
              <w:right w:val="nil"/>
            </w:tcBorders>
            <w:shd w:val="clear" w:color="auto" w:fill="auto"/>
            <w:noWrap/>
            <w:vAlign w:val="center"/>
            <w:hideMark/>
          </w:tcPr>
          <w:p w14:paraId="73B403E8" w14:textId="77777777" w:rsidR="0064379B" w:rsidRPr="00E21717" w:rsidRDefault="0064379B"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Westpac Banking </w:t>
            </w:r>
          </w:p>
        </w:tc>
        <w:tc>
          <w:tcPr>
            <w:tcW w:w="1879" w:type="dxa"/>
            <w:tcBorders>
              <w:top w:val="nil"/>
              <w:left w:val="nil"/>
              <w:bottom w:val="nil"/>
              <w:right w:val="nil"/>
            </w:tcBorders>
            <w:shd w:val="clear" w:color="auto" w:fill="auto"/>
            <w:noWrap/>
            <w:vAlign w:val="center"/>
            <w:hideMark/>
          </w:tcPr>
          <w:p w14:paraId="5C06CF6B" w14:textId="12407BD9"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5.89</w:t>
            </w:r>
          </w:p>
        </w:tc>
        <w:tc>
          <w:tcPr>
            <w:tcW w:w="2041" w:type="dxa"/>
            <w:tcBorders>
              <w:top w:val="nil"/>
              <w:left w:val="nil"/>
              <w:bottom w:val="nil"/>
              <w:right w:val="nil"/>
            </w:tcBorders>
            <w:shd w:val="clear" w:color="auto" w:fill="auto"/>
            <w:noWrap/>
            <w:vAlign w:val="center"/>
            <w:hideMark/>
          </w:tcPr>
          <w:p w14:paraId="0C502AB2" w14:textId="501260B7"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7.01</w:t>
            </w:r>
          </w:p>
        </w:tc>
        <w:tc>
          <w:tcPr>
            <w:tcW w:w="1536" w:type="dxa"/>
            <w:tcBorders>
              <w:top w:val="nil"/>
              <w:left w:val="nil"/>
              <w:bottom w:val="nil"/>
              <w:right w:val="nil"/>
            </w:tcBorders>
            <w:shd w:val="clear" w:color="auto" w:fill="auto"/>
            <w:noWrap/>
            <w:vAlign w:val="center"/>
            <w:hideMark/>
          </w:tcPr>
          <w:p w14:paraId="7A829493" w14:textId="21F6C06B" w:rsidR="0064379B" w:rsidRPr="00371459"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5.40</w:t>
            </w:r>
          </w:p>
        </w:tc>
      </w:tr>
      <w:tr w:rsidR="0064379B" w:rsidRPr="00E21717" w14:paraId="37476961" w14:textId="77777777" w:rsidTr="0040107F">
        <w:trPr>
          <w:trHeight w:val="302"/>
        </w:trPr>
        <w:tc>
          <w:tcPr>
            <w:tcW w:w="3031" w:type="dxa"/>
            <w:tcBorders>
              <w:top w:val="nil"/>
              <w:left w:val="nil"/>
              <w:bottom w:val="nil"/>
              <w:right w:val="nil"/>
            </w:tcBorders>
            <w:shd w:val="clear" w:color="auto" w:fill="auto"/>
            <w:noWrap/>
            <w:vAlign w:val="center"/>
            <w:hideMark/>
          </w:tcPr>
          <w:p w14:paraId="2D2D9101" w14:textId="77777777" w:rsidR="0064379B" w:rsidRPr="00371459" w:rsidRDefault="0064379B" w:rsidP="0040107F">
            <w:pPr>
              <w:rPr>
                <w:rFonts w:ascii="dcr10" w:eastAsia="Times New Roman" w:hAnsi="dcr10" w:cs="Times New Roman"/>
                <w:i/>
                <w:color w:val="000000"/>
                <w:sz w:val="17"/>
                <w:szCs w:val="17"/>
              </w:rPr>
            </w:pPr>
            <w:r w:rsidRPr="00371459">
              <w:rPr>
                <w:rFonts w:ascii="dcr10" w:eastAsia="Times New Roman" w:hAnsi="dcr10" w:cs="Times New Roman"/>
                <w:i/>
                <w:color w:val="000000"/>
                <w:sz w:val="18"/>
                <w:szCs w:val="18"/>
              </w:rPr>
              <w:t>Mean</w:t>
            </w:r>
          </w:p>
        </w:tc>
        <w:tc>
          <w:tcPr>
            <w:tcW w:w="1879" w:type="dxa"/>
            <w:tcBorders>
              <w:top w:val="nil"/>
              <w:left w:val="nil"/>
              <w:bottom w:val="nil"/>
              <w:right w:val="nil"/>
            </w:tcBorders>
            <w:shd w:val="clear" w:color="auto" w:fill="auto"/>
            <w:noWrap/>
            <w:vAlign w:val="center"/>
            <w:hideMark/>
          </w:tcPr>
          <w:p w14:paraId="4820B18C" w14:textId="64120135" w:rsidR="0064379B" w:rsidRPr="0064379B"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9.02</w:t>
            </w:r>
          </w:p>
        </w:tc>
        <w:tc>
          <w:tcPr>
            <w:tcW w:w="2041" w:type="dxa"/>
            <w:tcBorders>
              <w:top w:val="nil"/>
              <w:left w:val="nil"/>
              <w:bottom w:val="nil"/>
              <w:right w:val="nil"/>
            </w:tcBorders>
            <w:shd w:val="clear" w:color="auto" w:fill="auto"/>
            <w:noWrap/>
            <w:vAlign w:val="center"/>
            <w:hideMark/>
          </w:tcPr>
          <w:p w14:paraId="29482E10" w14:textId="04EA0CC1" w:rsidR="0064379B" w:rsidRPr="0064379B"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14.95</w:t>
            </w:r>
          </w:p>
        </w:tc>
        <w:tc>
          <w:tcPr>
            <w:tcW w:w="1536" w:type="dxa"/>
            <w:tcBorders>
              <w:top w:val="nil"/>
              <w:left w:val="nil"/>
              <w:bottom w:val="nil"/>
              <w:right w:val="nil"/>
            </w:tcBorders>
            <w:shd w:val="clear" w:color="auto" w:fill="auto"/>
            <w:noWrap/>
            <w:vAlign w:val="center"/>
            <w:hideMark/>
          </w:tcPr>
          <w:p w14:paraId="511BEC5C" w14:textId="5219CF88" w:rsidR="0064379B" w:rsidRPr="0064379B"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9.27</w:t>
            </w:r>
          </w:p>
        </w:tc>
      </w:tr>
      <w:tr w:rsidR="0064379B" w:rsidRPr="00E21717" w14:paraId="64DE8245" w14:textId="77777777" w:rsidTr="0040107F">
        <w:trPr>
          <w:trHeight w:val="302"/>
        </w:trPr>
        <w:tc>
          <w:tcPr>
            <w:tcW w:w="3031" w:type="dxa"/>
            <w:tcBorders>
              <w:top w:val="nil"/>
              <w:left w:val="nil"/>
              <w:bottom w:val="nil"/>
              <w:right w:val="nil"/>
            </w:tcBorders>
            <w:shd w:val="clear" w:color="auto" w:fill="auto"/>
            <w:noWrap/>
            <w:vAlign w:val="center"/>
            <w:hideMark/>
          </w:tcPr>
          <w:p w14:paraId="49A26D8D" w14:textId="77777777" w:rsidR="0064379B" w:rsidRPr="00371459" w:rsidRDefault="0064379B" w:rsidP="0040107F">
            <w:pPr>
              <w:rPr>
                <w:rFonts w:ascii="dcr10" w:eastAsia="Times New Roman" w:hAnsi="dcr10" w:cs="Times New Roman"/>
                <w:i/>
                <w:color w:val="000000"/>
                <w:sz w:val="17"/>
                <w:szCs w:val="17"/>
              </w:rPr>
            </w:pPr>
            <w:r w:rsidRPr="00371459">
              <w:rPr>
                <w:rFonts w:ascii="dcr10" w:eastAsia="Times New Roman" w:hAnsi="dcr10" w:cs="Times New Roman"/>
                <w:bCs/>
                <w:i/>
                <w:color w:val="000000"/>
                <w:sz w:val="18"/>
                <w:szCs w:val="18"/>
              </w:rPr>
              <w:t>Median</w:t>
            </w:r>
          </w:p>
        </w:tc>
        <w:tc>
          <w:tcPr>
            <w:tcW w:w="1879" w:type="dxa"/>
            <w:tcBorders>
              <w:top w:val="nil"/>
              <w:left w:val="nil"/>
              <w:bottom w:val="nil"/>
              <w:right w:val="nil"/>
            </w:tcBorders>
            <w:shd w:val="clear" w:color="auto" w:fill="auto"/>
            <w:noWrap/>
            <w:vAlign w:val="center"/>
            <w:hideMark/>
          </w:tcPr>
          <w:p w14:paraId="7751A6B7" w14:textId="2665F273" w:rsidR="0064379B" w:rsidRPr="0064379B"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8.12</w:t>
            </w:r>
          </w:p>
        </w:tc>
        <w:tc>
          <w:tcPr>
            <w:tcW w:w="2041" w:type="dxa"/>
            <w:tcBorders>
              <w:top w:val="nil"/>
              <w:left w:val="nil"/>
              <w:bottom w:val="nil"/>
              <w:right w:val="nil"/>
            </w:tcBorders>
            <w:shd w:val="clear" w:color="auto" w:fill="auto"/>
            <w:noWrap/>
            <w:vAlign w:val="center"/>
            <w:hideMark/>
          </w:tcPr>
          <w:p w14:paraId="1275BB49" w14:textId="424A9837" w:rsidR="0064379B" w:rsidRPr="0064379B"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13.54</w:t>
            </w:r>
          </w:p>
        </w:tc>
        <w:tc>
          <w:tcPr>
            <w:tcW w:w="1536" w:type="dxa"/>
            <w:tcBorders>
              <w:top w:val="nil"/>
              <w:left w:val="nil"/>
              <w:bottom w:val="nil"/>
              <w:right w:val="nil"/>
            </w:tcBorders>
            <w:shd w:val="clear" w:color="auto" w:fill="auto"/>
            <w:noWrap/>
            <w:vAlign w:val="center"/>
            <w:hideMark/>
          </w:tcPr>
          <w:p w14:paraId="499E9C49" w14:textId="5E008A84" w:rsidR="0064379B" w:rsidRPr="0064379B" w:rsidRDefault="0064379B" w:rsidP="0040107F">
            <w:pPr>
              <w:jc w:val="center"/>
              <w:rPr>
                <w:rFonts w:ascii="dcr10" w:eastAsia="Times New Roman" w:hAnsi="dcr10" w:cs="Times New Roman"/>
                <w:color w:val="000000"/>
                <w:sz w:val="18"/>
                <w:szCs w:val="18"/>
              </w:rPr>
            </w:pPr>
            <w:r w:rsidRPr="0064379B">
              <w:rPr>
                <w:rFonts w:ascii="dcr10" w:eastAsia="Times New Roman" w:hAnsi="dcr10" w:cs="Times New Roman"/>
                <w:color w:val="000000"/>
                <w:sz w:val="18"/>
                <w:szCs w:val="18"/>
              </w:rPr>
              <w:t>9.23</w:t>
            </w:r>
          </w:p>
        </w:tc>
      </w:tr>
      <w:tr w:rsidR="0064379B" w:rsidRPr="00E21717" w14:paraId="6446A64C" w14:textId="77777777" w:rsidTr="0040107F">
        <w:trPr>
          <w:trHeight w:val="302"/>
        </w:trPr>
        <w:tc>
          <w:tcPr>
            <w:tcW w:w="3031" w:type="dxa"/>
            <w:tcBorders>
              <w:top w:val="nil"/>
              <w:left w:val="nil"/>
              <w:bottom w:val="nil"/>
              <w:right w:val="nil"/>
            </w:tcBorders>
            <w:shd w:val="clear" w:color="auto" w:fill="auto"/>
            <w:noWrap/>
            <w:vAlign w:val="bottom"/>
            <w:hideMark/>
          </w:tcPr>
          <w:p w14:paraId="47388488" w14:textId="77777777" w:rsidR="0064379B" w:rsidRPr="00E21717" w:rsidRDefault="0064379B" w:rsidP="0040107F">
            <w:pPr>
              <w:rPr>
                <w:rFonts w:ascii="dcr10" w:eastAsia="Times New Roman" w:hAnsi="dcr10" w:cs="Times New Roman"/>
                <w:i/>
                <w:iCs/>
                <w:color w:val="000000"/>
                <w:sz w:val="17"/>
                <w:szCs w:val="17"/>
              </w:rPr>
            </w:pPr>
            <w:r w:rsidRPr="00E21717">
              <w:rPr>
                <w:rFonts w:ascii="dcr10" w:eastAsia="Times New Roman" w:hAnsi="dcr10" w:cs="Times New Roman"/>
                <w:i/>
                <w:iCs/>
                <w:color w:val="0000FF"/>
                <w:sz w:val="18"/>
                <w:szCs w:val="18"/>
              </w:rPr>
              <w:t xml:space="preserve">Big 6 </w:t>
            </w:r>
            <w:r>
              <w:rPr>
                <w:rFonts w:ascii="dcr10" w:eastAsia="Times New Roman" w:hAnsi="dcr10" w:cs="Times New Roman"/>
                <w:i/>
                <w:iCs/>
                <w:color w:val="0000FF"/>
                <w:sz w:val="18"/>
                <w:szCs w:val="18"/>
              </w:rPr>
              <w:t>Mean</w:t>
            </w:r>
            <w:r w:rsidRPr="00E21717">
              <w:rPr>
                <w:rFonts w:ascii="dcr10" w:eastAsia="Times New Roman" w:hAnsi="dcr10" w:cs="Times New Roman"/>
                <w:i/>
                <w:iCs/>
                <w:color w:val="0000FF"/>
                <w:sz w:val="18"/>
                <w:szCs w:val="18"/>
              </w:rPr>
              <w:t xml:space="preserve"> </w:t>
            </w:r>
          </w:p>
        </w:tc>
        <w:tc>
          <w:tcPr>
            <w:tcW w:w="1879" w:type="dxa"/>
            <w:tcBorders>
              <w:top w:val="nil"/>
              <w:left w:val="nil"/>
              <w:bottom w:val="nil"/>
              <w:right w:val="nil"/>
            </w:tcBorders>
            <w:shd w:val="clear" w:color="auto" w:fill="auto"/>
            <w:noWrap/>
            <w:vAlign w:val="bottom"/>
            <w:hideMark/>
          </w:tcPr>
          <w:p w14:paraId="5E412BB9" w14:textId="3F4E5061" w:rsidR="0064379B" w:rsidRPr="00E21717" w:rsidRDefault="0064379B" w:rsidP="0040107F">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9.13</w:t>
            </w:r>
          </w:p>
        </w:tc>
        <w:tc>
          <w:tcPr>
            <w:tcW w:w="2041" w:type="dxa"/>
            <w:tcBorders>
              <w:top w:val="nil"/>
              <w:left w:val="nil"/>
              <w:bottom w:val="nil"/>
              <w:right w:val="nil"/>
            </w:tcBorders>
            <w:shd w:val="clear" w:color="auto" w:fill="auto"/>
            <w:noWrap/>
            <w:vAlign w:val="bottom"/>
            <w:hideMark/>
          </w:tcPr>
          <w:p w14:paraId="05373BA4" w14:textId="394A630F" w:rsidR="0064379B" w:rsidRPr="00E21717" w:rsidRDefault="0064379B" w:rsidP="0040107F">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15.82</w:t>
            </w:r>
          </w:p>
        </w:tc>
        <w:tc>
          <w:tcPr>
            <w:tcW w:w="1536" w:type="dxa"/>
            <w:tcBorders>
              <w:top w:val="nil"/>
              <w:left w:val="nil"/>
              <w:bottom w:val="nil"/>
              <w:right w:val="nil"/>
            </w:tcBorders>
            <w:shd w:val="clear" w:color="auto" w:fill="auto"/>
            <w:noWrap/>
            <w:vAlign w:val="bottom"/>
            <w:hideMark/>
          </w:tcPr>
          <w:p w14:paraId="32F7B77B" w14:textId="7216298D" w:rsidR="0064379B" w:rsidRPr="00E21717" w:rsidRDefault="0064379B" w:rsidP="0040107F">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7.50</w:t>
            </w:r>
          </w:p>
        </w:tc>
      </w:tr>
      <w:tr w:rsidR="0064379B" w:rsidRPr="00E21717" w14:paraId="49BF729F" w14:textId="77777777" w:rsidTr="0040107F">
        <w:trPr>
          <w:trHeight w:val="302"/>
        </w:trPr>
        <w:tc>
          <w:tcPr>
            <w:tcW w:w="3031" w:type="dxa"/>
            <w:tcBorders>
              <w:top w:val="nil"/>
              <w:left w:val="nil"/>
              <w:bottom w:val="nil"/>
              <w:right w:val="nil"/>
            </w:tcBorders>
            <w:shd w:val="clear" w:color="auto" w:fill="auto"/>
            <w:noWrap/>
            <w:vAlign w:val="bottom"/>
            <w:hideMark/>
          </w:tcPr>
          <w:p w14:paraId="0566AFCB" w14:textId="77777777" w:rsidR="0064379B" w:rsidRPr="00E21717" w:rsidRDefault="0064379B" w:rsidP="0040107F">
            <w:pPr>
              <w:rPr>
                <w:rFonts w:ascii="dcr10" w:eastAsia="Times New Roman" w:hAnsi="dcr10" w:cs="Times New Roman"/>
                <w:i/>
                <w:iCs/>
                <w:color w:val="000000"/>
                <w:sz w:val="17"/>
                <w:szCs w:val="17"/>
              </w:rPr>
            </w:pPr>
            <w:r w:rsidRPr="00E21717">
              <w:rPr>
                <w:rFonts w:ascii="dcr10" w:eastAsia="Times New Roman" w:hAnsi="dcr10" w:cs="Times New Roman"/>
                <w:i/>
                <w:iCs/>
                <w:color w:val="0000FF"/>
                <w:sz w:val="18"/>
                <w:szCs w:val="18"/>
              </w:rPr>
              <w:t xml:space="preserve">Big 6 </w:t>
            </w:r>
            <w:r>
              <w:rPr>
                <w:rFonts w:ascii="dcr10" w:eastAsia="Times New Roman" w:hAnsi="dcr10" w:cs="Times New Roman"/>
                <w:i/>
                <w:iCs/>
                <w:color w:val="0000FF"/>
                <w:sz w:val="18"/>
                <w:szCs w:val="18"/>
              </w:rPr>
              <w:t>Median</w:t>
            </w:r>
            <w:r w:rsidRPr="00E21717">
              <w:rPr>
                <w:rFonts w:ascii="dcr10" w:eastAsia="Times New Roman" w:hAnsi="dcr10" w:cs="Times New Roman"/>
                <w:i/>
                <w:iCs/>
                <w:color w:val="0000FF"/>
                <w:sz w:val="18"/>
                <w:szCs w:val="18"/>
              </w:rPr>
              <w:t xml:space="preserve"> </w:t>
            </w:r>
          </w:p>
        </w:tc>
        <w:tc>
          <w:tcPr>
            <w:tcW w:w="1879" w:type="dxa"/>
            <w:tcBorders>
              <w:top w:val="nil"/>
              <w:left w:val="nil"/>
              <w:bottom w:val="nil"/>
              <w:right w:val="nil"/>
            </w:tcBorders>
            <w:shd w:val="clear" w:color="auto" w:fill="auto"/>
            <w:noWrap/>
            <w:vAlign w:val="bottom"/>
            <w:hideMark/>
          </w:tcPr>
          <w:p w14:paraId="4F72ADBA" w14:textId="0B627463" w:rsidR="0064379B" w:rsidRPr="00E21717" w:rsidRDefault="0064379B" w:rsidP="0040107F">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10.36</w:t>
            </w:r>
          </w:p>
        </w:tc>
        <w:tc>
          <w:tcPr>
            <w:tcW w:w="2041" w:type="dxa"/>
            <w:tcBorders>
              <w:top w:val="nil"/>
              <w:left w:val="nil"/>
              <w:bottom w:val="nil"/>
              <w:right w:val="nil"/>
            </w:tcBorders>
            <w:shd w:val="clear" w:color="auto" w:fill="auto"/>
            <w:noWrap/>
            <w:vAlign w:val="bottom"/>
            <w:hideMark/>
          </w:tcPr>
          <w:p w14:paraId="7D7F8E23" w14:textId="361DBCF5" w:rsidR="0064379B" w:rsidRPr="00E21717" w:rsidRDefault="0064379B" w:rsidP="0040107F">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15.64</w:t>
            </w:r>
          </w:p>
        </w:tc>
        <w:tc>
          <w:tcPr>
            <w:tcW w:w="1536" w:type="dxa"/>
            <w:tcBorders>
              <w:top w:val="nil"/>
              <w:left w:val="nil"/>
              <w:bottom w:val="nil"/>
              <w:right w:val="nil"/>
            </w:tcBorders>
            <w:shd w:val="clear" w:color="auto" w:fill="auto"/>
            <w:noWrap/>
            <w:vAlign w:val="bottom"/>
            <w:hideMark/>
          </w:tcPr>
          <w:p w14:paraId="217CBF31" w14:textId="0AD311BE" w:rsidR="0064379B" w:rsidRPr="00E21717" w:rsidRDefault="0064379B" w:rsidP="0040107F">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7.84</w:t>
            </w:r>
          </w:p>
        </w:tc>
      </w:tr>
    </w:tbl>
    <w:p w14:paraId="604CCD3F" w14:textId="77777777" w:rsidR="00BC1E5F" w:rsidRDefault="00BC1E5F" w:rsidP="0040107F">
      <w:pPr>
        <w:rPr>
          <w:rFonts w:ascii="dcr10" w:eastAsia="Times New Roman" w:hAnsi="dcr10" w:cs="Times New Roman"/>
          <w:i/>
          <w:iCs/>
          <w:color w:val="0000FF"/>
          <w:sz w:val="18"/>
          <w:szCs w:val="18"/>
        </w:rPr>
        <w:sectPr w:rsidR="00BC1E5F" w:rsidSect="00170627">
          <w:pgSz w:w="12240" w:h="15840"/>
          <w:pgMar w:top="1296" w:right="1296" w:bottom="1296" w:left="1296" w:header="720" w:footer="720" w:gutter="0"/>
          <w:cols w:space="720"/>
          <w:docGrid w:linePitch="360"/>
        </w:sectPr>
      </w:pPr>
    </w:p>
    <w:tbl>
      <w:tblPr>
        <w:tblpPr w:leftFromText="180" w:rightFromText="180" w:vertAnchor="page" w:horzAnchor="page" w:tblpX="1909" w:tblpY="3241"/>
        <w:tblW w:w="8487" w:type="dxa"/>
        <w:tblLook w:val="04A0" w:firstRow="1" w:lastRow="0" w:firstColumn="1" w:lastColumn="0" w:noHBand="0" w:noVBand="1"/>
      </w:tblPr>
      <w:tblGrid>
        <w:gridCol w:w="3031"/>
        <w:gridCol w:w="1879"/>
        <w:gridCol w:w="2041"/>
        <w:gridCol w:w="1536"/>
      </w:tblGrid>
      <w:tr w:rsidR="00BC1E5F" w:rsidRPr="00E21717" w14:paraId="1CFD186B" w14:textId="77777777" w:rsidTr="0040107F">
        <w:trPr>
          <w:trHeight w:val="302"/>
        </w:trPr>
        <w:tc>
          <w:tcPr>
            <w:tcW w:w="3031" w:type="dxa"/>
            <w:tcBorders>
              <w:top w:val="nil"/>
              <w:left w:val="nil"/>
              <w:bottom w:val="nil"/>
              <w:right w:val="nil"/>
            </w:tcBorders>
            <w:shd w:val="clear" w:color="auto" w:fill="auto"/>
            <w:noWrap/>
            <w:vAlign w:val="bottom"/>
          </w:tcPr>
          <w:p w14:paraId="349E76BF" w14:textId="4EA9B9E1" w:rsidR="00BC1E5F" w:rsidRDefault="00BC1E5F" w:rsidP="0040107F">
            <w:pPr>
              <w:rPr>
                <w:rFonts w:ascii="dcr10" w:eastAsia="Times New Roman" w:hAnsi="dcr10" w:cs="Times New Roman"/>
                <w:i/>
                <w:iCs/>
                <w:color w:val="0000FF"/>
                <w:sz w:val="18"/>
                <w:szCs w:val="18"/>
              </w:rPr>
            </w:pPr>
          </w:p>
          <w:p w14:paraId="1F65E9DC" w14:textId="77777777" w:rsidR="00BC1E5F" w:rsidRPr="00E21717" w:rsidRDefault="00BC1E5F" w:rsidP="0040107F">
            <w:pPr>
              <w:rPr>
                <w:rFonts w:ascii="dcr10" w:eastAsia="Times New Roman" w:hAnsi="dcr10" w:cs="Times New Roman"/>
                <w:i/>
                <w:iCs/>
                <w:color w:val="0000FF"/>
                <w:sz w:val="18"/>
                <w:szCs w:val="18"/>
              </w:rPr>
            </w:pPr>
          </w:p>
        </w:tc>
        <w:tc>
          <w:tcPr>
            <w:tcW w:w="1879" w:type="dxa"/>
            <w:tcBorders>
              <w:top w:val="nil"/>
              <w:left w:val="nil"/>
              <w:bottom w:val="nil"/>
              <w:right w:val="nil"/>
            </w:tcBorders>
            <w:shd w:val="clear" w:color="auto" w:fill="auto"/>
            <w:noWrap/>
            <w:vAlign w:val="bottom"/>
          </w:tcPr>
          <w:p w14:paraId="23C96C0C" w14:textId="77777777" w:rsidR="00BC1E5F" w:rsidRDefault="00BC1E5F" w:rsidP="0040107F">
            <w:pPr>
              <w:jc w:val="center"/>
              <w:rPr>
                <w:rFonts w:ascii="dcr10" w:eastAsia="Times New Roman" w:hAnsi="dcr10" w:cs="Times New Roman"/>
                <w:i/>
                <w:iCs/>
                <w:color w:val="0000FF"/>
                <w:sz w:val="18"/>
                <w:szCs w:val="18"/>
              </w:rPr>
            </w:pPr>
          </w:p>
        </w:tc>
        <w:tc>
          <w:tcPr>
            <w:tcW w:w="2041" w:type="dxa"/>
            <w:tcBorders>
              <w:top w:val="nil"/>
              <w:left w:val="nil"/>
              <w:bottom w:val="nil"/>
              <w:right w:val="nil"/>
            </w:tcBorders>
            <w:shd w:val="clear" w:color="auto" w:fill="auto"/>
            <w:noWrap/>
            <w:vAlign w:val="bottom"/>
          </w:tcPr>
          <w:p w14:paraId="0142DB02" w14:textId="77777777" w:rsidR="00BC1E5F" w:rsidRDefault="00BC1E5F" w:rsidP="0040107F">
            <w:pPr>
              <w:jc w:val="center"/>
              <w:rPr>
                <w:rFonts w:ascii="dcr10" w:eastAsia="Times New Roman" w:hAnsi="dcr10" w:cs="Times New Roman"/>
                <w:i/>
                <w:iCs/>
                <w:color w:val="0000FF"/>
                <w:sz w:val="18"/>
                <w:szCs w:val="18"/>
              </w:rPr>
            </w:pPr>
          </w:p>
        </w:tc>
        <w:tc>
          <w:tcPr>
            <w:tcW w:w="1536" w:type="dxa"/>
            <w:tcBorders>
              <w:top w:val="nil"/>
              <w:left w:val="nil"/>
              <w:bottom w:val="nil"/>
              <w:right w:val="nil"/>
            </w:tcBorders>
            <w:shd w:val="clear" w:color="auto" w:fill="auto"/>
            <w:noWrap/>
            <w:vAlign w:val="bottom"/>
          </w:tcPr>
          <w:p w14:paraId="7CD89C9C" w14:textId="77777777" w:rsidR="00BC1E5F" w:rsidRDefault="00BC1E5F" w:rsidP="0040107F">
            <w:pPr>
              <w:jc w:val="center"/>
              <w:rPr>
                <w:rFonts w:ascii="dcr10" w:eastAsia="Times New Roman" w:hAnsi="dcr10" w:cs="Times New Roman"/>
                <w:i/>
                <w:iCs/>
                <w:color w:val="0000FF"/>
                <w:sz w:val="18"/>
                <w:szCs w:val="18"/>
              </w:rPr>
            </w:pPr>
          </w:p>
        </w:tc>
      </w:tr>
    </w:tbl>
    <w:p w14:paraId="599871B1" w14:textId="34B39CE4" w:rsidR="00BC1E5F" w:rsidRPr="00E21717" w:rsidRDefault="00BC1E5F" w:rsidP="00BC1E5F">
      <w:pPr>
        <w:spacing w:after="120"/>
        <w:jc w:val="center"/>
        <w:rPr>
          <w:rFonts w:ascii="dcr10" w:hAnsi="dcr10"/>
        </w:rPr>
      </w:pPr>
      <w:r w:rsidRPr="00E21717">
        <w:rPr>
          <w:rFonts w:ascii="dcr10" w:hAnsi="dcr10"/>
        </w:rPr>
        <w:t xml:space="preserve">Table </w:t>
      </w:r>
      <w:r>
        <w:rPr>
          <w:rFonts w:ascii="dcr10" w:hAnsi="dcr10"/>
        </w:rPr>
        <w:t>VI</w:t>
      </w:r>
      <w:r w:rsidRPr="00E21717">
        <w:rPr>
          <w:rFonts w:ascii="dcr10" w:hAnsi="dcr10"/>
        </w:rPr>
        <w:br/>
      </w:r>
      <w:r>
        <w:rPr>
          <w:rFonts w:ascii="dcr10" w:hAnsi="dcr10"/>
        </w:rPr>
        <w:t>Implied Volatility for International Banks</w:t>
      </w:r>
    </w:p>
    <w:p w14:paraId="484E7EF9" w14:textId="77777777" w:rsidR="00BC1E5F" w:rsidRPr="00E21717" w:rsidRDefault="00BC1E5F" w:rsidP="00BC1E5F">
      <w:pPr>
        <w:jc w:val="both"/>
        <w:rPr>
          <w:rFonts w:ascii="dcr10" w:hAnsi="dcr10"/>
        </w:rPr>
      </w:pPr>
    </w:p>
    <w:p w14:paraId="0669F0F9" w14:textId="44289AA1" w:rsidR="00BC1E5F" w:rsidRPr="00E21717" w:rsidRDefault="00BC1E5F" w:rsidP="00BC1E5F">
      <w:pPr>
        <w:jc w:val="both"/>
        <w:rPr>
          <w:rFonts w:ascii="dcr10" w:hAnsi="dcr10"/>
        </w:rPr>
      </w:pPr>
      <w:r w:rsidRPr="00E21717">
        <w:rPr>
          <w:rFonts w:ascii="dcr10" w:hAnsi="dcr10"/>
        </w:rPr>
        <w:t xml:space="preserve">This table reports </w:t>
      </w:r>
      <w:r w:rsidR="00F902E1">
        <w:rPr>
          <w:rFonts w:ascii="dcr10" w:hAnsi="dcr10"/>
        </w:rPr>
        <w:t xml:space="preserve">implied </w:t>
      </w:r>
      <w:r>
        <w:rPr>
          <w:rFonts w:ascii="dcr10" w:hAnsi="dcr10"/>
        </w:rPr>
        <w:t>volatility</w:t>
      </w:r>
      <w:r w:rsidRPr="00E21717">
        <w:rPr>
          <w:rFonts w:ascii="dcr10" w:hAnsi="dcr10"/>
        </w:rPr>
        <w:t xml:space="preserve"> for the thirty largest international financial institutions (excluding Chinese and American banks)</w:t>
      </w:r>
      <w:r>
        <w:rPr>
          <w:rFonts w:ascii="dcr10" w:hAnsi="dcr10"/>
        </w:rPr>
        <w:t xml:space="preserve"> for </w:t>
      </w:r>
      <w:proofErr w:type="gramStart"/>
      <w:r>
        <w:rPr>
          <w:rFonts w:ascii="dcr10" w:hAnsi="dcr10"/>
        </w:rPr>
        <w:t>whom</w:t>
      </w:r>
      <w:proofErr w:type="gramEnd"/>
      <w:r>
        <w:rPr>
          <w:rFonts w:ascii="dcr10" w:hAnsi="dcr10"/>
        </w:rPr>
        <w:t xml:space="preserve"> data is available</w:t>
      </w:r>
      <w:r w:rsidRPr="00E21717">
        <w:rPr>
          <w:rFonts w:ascii="dcr10" w:hAnsi="dcr10"/>
        </w:rPr>
        <w:t>. Pre-crisis is 200</w:t>
      </w:r>
      <w:r>
        <w:rPr>
          <w:rFonts w:ascii="dcr10" w:hAnsi="dcr10"/>
        </w:rPr>
        <w:t>5</w:t>
      </w:r>
      <w:r w:rsidRPr="00E21717">
        <w:rPr>
          <w:rFonts w:ascii="dcr10" w:hAnsi="dcr10"/>
        </w:rPr>
        <w:t>-2007</w:t>
      </w:r>
      <w:r>
        <w:rPr>
          <w:rFonts w:ascii="dcr10" w:hAnsi="dcr10"/>
        </w:rPr>
        <w:t xml:space="preserve"> </w:t>
      </w:r>
      <w:r w:rsidRPr="00E21717">
        <w:rPr>
          <w:rFonts w:ascii="dcr10" w:hAnsi="dcr10"/>
        </w:rPr>
        <w:t xml:space="preserve">and post-crisis is 2010-2014. We also compare pre-crisis to the most recent 2014 data. </w:t>
      </w:r>
    </w:p>
    <w:p w14:paraId="294E441E" w14:textId="77777777" w:rsidR="00BC1E5F" w:rsidRPr="00E21717" w:rsidRDefault="00BC1E5F" w:rsidP="00BC1E5F">
      <w:pPr>
        <w:jc w:val="both"/>
        <w:rPr>
          <w:rFonts w:ascii="dcr10" w:hAnsi="dcr10"/>
        </w:rPr>
      </w:pPr>
    </w:p>
    <w:tbl>
      <w:tblPr>
        <w:tblpPr w:leftFromText="180" w:rightFromText="180" w:vertAnchor="page" w:horzAnchor="page" w:tblpX="1909" w:tblpY="3241"/>
        <w:tblW w:w="8487" w:type="dxa"/>
        <w:tblLook w:val="04A0" w:firstRow="1" w:lastRow="0" w:firstColumn="1" w:lastColumn="0" w:noHBand="0" w:noVBand="1"/>
      </w:tblPr>
      <w:tblGrid>
        <w:gridCol w:w="3031"/>
        <w:gridCol w:w="1879"/>
        <w:gridCol w:w="2041"/>
        <w:gridCol w:w="1536"/>
      </w:tblGrid>
      <w:tr w:rsidR="00BC1E5F" w:rsidRPr="00E21717" w14:paraId="1AA0010F" w14:textId="77777777" w:rsidTr="0040107F">
        <w:trPr>
          <w:trHeight w:val="302"/>
        </w:trPr>
        <w:tc>
          <w:tcPr>
            <w:tcW w:w="3031" w:type="dxa"/>
            <w:tcBorders>
              <w:top w:val="single" w:sz="4" w:space="0" w:color="auto"/>
              <w:left w:val="nil"/>
              <w:bottom w:val="single" w:sz="4" w:space="0" w:color="auto"/>
              <w:right w:val="nil"/>
            </w:tcBorders>
            <w:shd w:val="clear" w:color="auto" w:fill="auto"/>
            <w:noWrap/>
            <w:vAlign w:val="center"/>
            <w:hideMark/>
          </w:tcPr>
          <w:p w14:paraId="3A980D90" w14:textId="77777777" w:rsidR="00BC1E5F" w:rsidRPr="00E21717" w:rsidRDefault="00BC1E5F" w:rsidP="0040107F">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 xml:space="preserve">Bank  </w:t>
            </w:r>
          </w:p>
        </w:tc>
        <w:tc>
          <w:tcPr>
            <w:tcW w:w="1879" w:type="dxa"/>
            <w:tcBorders>
              <w:top w:val="single" w:sz="4" w:space="0" w:color="auto"/>
              <w:left w:val="nil"/>
              <w:bottom w:val="single" w:sz="4" w:space="0" w:color="auto"/>
              <w:right w:val="nil"/>
            </w:tcBorders>
            <w:shd w:val="clear" w:color="auto" w:fill="auto"/>
            <w:noWrap/>
            <w:vAlign w:val="center"/>
            <w:hideMark/>
          </w:tcPr>
          <w:p w14:paraId="764D1EE8" w14:textId="77777777" w:rsidR="00BC1E5F" w:rsidRPr="00E21717" w:rsidRDefault="00BC1E5F" w:rsidP="0040107F">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Pre-crisis average</w:t>
            </w:r>
          </w:p>
        </w:tc>
        <w:tc>
          <w:tcPr>
            <w:tcW w:w="2041" w:type="dxa"/>
            <w:tcBorders>
              <w:top w:val="single" w:sz="4" w:space="0" w:color="auto"/>
              <w:left w:val="nil"/>
              <w:bottom w:val="single" w:sz="4" w:space="0" w:color="auto"/>
              <w:right w:val="nil"/>
            </w:tcBorders>
            <w:shd w:val="clear" w:color="auto" w:fill="auto"/>
            <w:noWrap/>
            <w:vAlign w:val="center"/>
            <w:hideMark/>
          </w:tcPr>
          <w:p w14:paraId="07A7A312" w14:textId="77777777" w:rsidR="00BC1E5F" w:rsidRPr="00E21717" w:rsidRDefault="00BC1E5F" w:rsidP="0040107F">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Post-crisis average</w:t>
            </w:r>
          </w:p>
        </w:tc>
        <w:tc>
          <w:tcPr>
            <w:tcW w:w="1536" w:type="dxa"/>
            <w:tcBorders>
              <w:top w:val="single" w:sz="4" w:space="0" w:color="auto"/>
              <w:left w:val="nil"/>
              <w:bottom w:val="single" w:sz="4" w:space="0" w:color="auto"/>
              <w:right w:val="nil"/>
            </w:tcBorders>
            <w:shd w:val="clear" w:color="auto" w:fill="auto"/>
            <w:noWrap/>
            <w:vAlign w:val="center"/>
            <w:hideMark/>
          </w:tcPr>
          <w:p w14:paraId="45279586" w14:textId="77777777" w:rsidR="00BC1E5F" w:rsidRPr="00E21717" w:rsidRDefault="00BC1E5F" w:rsidP="0040107F">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2014 average</w:t>
            </w:r>
          </w:p>
        </w:tc>
      </w:tr>
      <w:tr w:rsidR="0040107F" w:rsidRPr="00E21717" w14:paraId="4B406E23" w14:textId="77777777" w:rsidTr="0040107F">
        <w:trPr>
          <w:trHeight w:val="302"/>
        </w:trPr>
        <w:tc>
          <w:tcPr>
            <w:tcW w:w="3031" w:type="dxa"/>
            <w:tcBorders>
              <w:top w:val="single" w:sz="4" w:space="0" w:color="auto"/>
              <w:left w:val="nil"/>
              <w:bottom w:val="nil"/>
              <w:right w:val="nil"/>
            </w:tcBorders>
            <w:shd w:val="clear" w:color="auto" w:fill="auto"/>
            <w:noWrap/>
            <w:vAlign w:val="center"/>
            <w:hideMark/>
          </w:tcPr>
          <w:p w14:paraId="07556BF4" w14:textId="77777777" w:rsidR="0040107F" w:rsidRPr="00E21717" w:rsidRDefault="0040107F" w:rsidP="0040107F">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Credit </w:t>
            </w:r>
            <w:proofErr w:type="spellStart"/>
            <w:r w:rsidRPr="00E21717">
              <w:rPr>
                <w:rFonts w:ascii="dcr10" w:eastAsia="Times New Roman" w:hAnsi="dcr10" w:cs="Times New Roman"/>
                <w:color w:val="000000"/>
                <w:sz w:val="18"/>
                <w:szCs w:val="18"/>
              </w:rPr>
              <w:t>Agricole</w:t>
            </w:r>
            <w:proofErr w:type="spellEnd"/>
            <w:r w:rsidRPr="00E21717">
              <w:rPr>
                <w:rFonts w:ascii="dcr10" w:eastAsia="Times New Roman" w:hAnsi="dcr10" w:cs="Times New Roman"/>
                <w:color w:val="000000"/>
                <w:sz w:val="18"/>
                <w:szCs w:val="18"/>
              </w:rPr>
              <w:t xml:space="preserve"> Group</w:t>
            </w:r>
          </w:p>
        </w:tc>
        <w:tc>
          <w:tcPr>
            <w:tcW w:w="1879" w:type="dxa"/>
            <w:tcBorders>
              <w:top w:val="single" w:sz="4" w:space="0" w:color="auto"/>
              <w:left w:val="nil"/>
              <w:bottom w:val="nil"/>
              <w:right w:val="nil"/>
            </w:tcBorders>
            <w:shd w:val="clear" w:color="auto" w:fill="auto"/>
            <w:noWrap/>
            <w:vAlign w:val="center"/>
            <w:hideMark/>
          </w:tcPr>
          <w:p w14:paraId="731B1866" w14:textId="43245090"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24.67</w:t>
            </w:r>
          </w:p>
        </w:tc>
        <w:tc>
          <w:tcPr>
            <w:tcW w:w="2041" w:type="dxa"/>
            <w:tcBorders>
              <w:top w:val="single" w:sz="4" w:space="0" w:color="auto"/>
              <w:left w:val="nil"/>
              <w:bottom w:val="nil"/>
              <w:right w:val="nil"/>
            </w:tcBorders>
            <w:shd w:val="clear" w:color="auto" w:fill="auto"/>
            <w:noWrap/>
            <w:vAlign w:val="center"/>
            <w:hideMark/>
          </w:tcPr>
          <w:p w14:paraId="7183FA10" w14:textId="6C1C3A8A"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44.57</w:t>
            </w:r>
          </w:p>
        </w:tc>
        <w:tc>
          <w:tcPr>
            <w:tcW w:w="1536" w:type="dxa"/>
            <w:tcBorders>
              <w:top w:val="single" w:sz="4" w:space="0" w:color="auto"/>
              <w:left w:val="nil"/>
              <w:bottom w:val="nil"/>
              <w:right w:val="nil"/>
            </w:tcBorders>
            <w:shd w:val="clear" w:color="auto" w:fill="auto"/>
            <w:noWrap/>
            <w:vAlign w:val="center"/>
            <w:hideMark/>
          </w:tcPr>
          <w:p w14:paraId="6F1D1F23" w14:textId="5F19353D"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30.71</w:t>
            </w:r>
          </w:p>
        </w:tc>
      </w:tr>
      <w:tr w:rsidR="0040107F" w:rsidRPr="00E21717" w14:paraId="40D51FEE" w14:textId="77777777" w:rsidTr="0040107F">
        <w:trPr>
          <w:trHeight w:val="302"/>
        </w:trPr>
        <w:tc>
          <w:tcPr>
            <w:tcW w:w="3031" w:type="dxa"/>
            <w:tcBorders>
              <w:top w:val="nil"/>
              <w:left w:val="nil"/>
              <w:bottom w:val="nil"/>
              <w:right w:val="nil"/>
            </w:tcBorders>
            <w:shd w:val="clear" w:color="auto" w:fill="auto"/>
            <w:noWrap/>
            <w:vAlign w:val="center"/>
            <w:hideMark/>
          </w:tcPr>
          <w:p w14:paraId="01CE0844" w14:textId="77777777" w:rsidR="0040107F" w:rsidRPr="00E21717" w:rsidRDefault="0040107F"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Australia &amp; NZ Bank</w:t>
            </w:r>
          </w:p>
        </w:tc>
        <w:tc>
          <w:tcPr>
            <w:tcW w:w="1879" w:type="dxa"/>
            <w:tcBorders>
              <w:top w:val="nil"/>
              <w:left w:val="nil"/>
              <w:bottom w:val="nil"/>
              <w:right w:val="nil"/>
            </w:tcBorders>
            <w:shd w:val="clear" w:color="auto" w:fill="auto"/>
            <w:noWrap/>
            <w:vAlign w:val="center"/>
            <w:hideMark/>
          </w:tcPr>
          <w:p w14:paraId="581FBA1F" w14:textId="4833BE95"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16.21</w:t>
            </w:r>
          </w:p>
        </w:tc>
        <w:tc>
          <w:tcPr>
            <w:tcW w:w="2041" w:type="dxa"/>
            <w:tcBorders>
              <w:top w:val="nil"/>
              <w:left w:val="nil"/>
              <w:bottom w:val="nil"/>
              <w:right w:val="nil"/>
            </w:tcBorders>
            <w:shd w:val="clear" w:color="auto" w:fill="auto"/>
            <w:noWrap/>
            <w:vAlign w:val="center"/>
            <w:hideMark/>
          </w:tcPr>
          <w:p w14:paraId="5434118D" w14:textId="74E357E3"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18.15</w:t>
            </w:r>
          </w:p>
        </w:tc>
        <w:tc>
          <w:tcPr>
            <w:tcW w:w="1536" w:type="dxa"/>
            <w:tcBorders>
              <w:top w:val="nil"/>
              <w:left w:val="nil"/>
              <w:bottom w:val="nil"/>
              <w:right w:val="nil"/>
            </w:tcBorders>
            <w:shd w:val="clear" w:color="auto" w:fill="auto"/>
            <w:noWrap/>
            <w:vAlign w:val="center"/>
            <w:hideMark/>
          </w:tcPr>
          <w:p w14:paraId="6C923A57" w14:textId="08E5E673"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14.01</w:t>
            </w:r>
          </w:p>
        </w:tc>
      </w:tr>
      <w:tr w:rsidR="0040107F" w:rsidRPr="00E21717" w14:paraId="73FEC63B" w14:textId="77777777" w:rsidTr="0040107F">
        <w:trPr>
          <w:trHeight w:val="302"/>
        </w:trPr>
        <w:tc>
          <w:tcPr>
            <w:tcW w:w="3031" w:type="dxa"/>
            <w:tcBorders>
              <w:top w:val="nil"/>
              <w:left w:val="nil"/>
              <w:bottom w:val="nil"/>
              <w:right w:val="nil"/>
            </w:tcBorders>
            <w:shd w:val="clear" w:color="auto" w:fill="auto"/>
            <w:noWrap/>
            <w:vAlign w:val="center"/>
            <w:hideMark/>
          </w:tcPr>
          <w:p w14:paraId="4B36BEE8" w14:textId="77777777" w:rsidR="0040107F" w:rsidRPr="00E21717" w:rsidRDefault="0040107F" w:rsidP="0040107F">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Banco</w:t>
            </w:r>
            <w:proofErr w:type="spellEnd"/>
            <w:r w:rsidRPr="00E21717">
              <w:rPr>
                <w:rFonts w:ascii="dcr10" w:eastAsia="Times New Roman" w:hAnsi="dcr10" w:cs="Times New Roman"/>
                <w:color w:val="000000"/>
                <w:sz w:val="18"/>
                <w:szCs w:val="18"/>
              </w:rPr>
              <w:t xml:space="preserve"> do </w:t>
            </w:r>
            <w:proofErr w:type="spellStart"/>
            <w:r w:rsidRPr="00E21717">
              <w:rPr>
                <w:rFonts w:ascii="dcr10" w:eastAsia="Times New Roman" w:hAnsi="dcr10" w:cs="Times New Roman"/>
                <w:color w:val="000000"/>
                <w:sz w:val="18"/>
                <w:szCs w:val="18"/>
              </w:rPr>
              <w:t>Brasil</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0E46B522" w14:textId="56E6733F"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66.25</w:t>
            </w:r>
          </w:p>
        </w:tc>
        <w:tc>
          <w:tcPr>
            <w:tcW w:w="2041" w:type="dxa"/>
            <w:tcBorders>
              <w:top w:val="nil"/>
              <w:left w:val="nil"/>
              <w:bottom w:val="nil"/>
              <w:right w:val="nil"/>
            </w:tcBorders>
            <w:shd w:val="clear" w:color="auto" w:fill="auto"/>
            <w:noWrap/>
            <w:vAlign w:val="center"/>
            <w:hideMark/>
          </w:tcPr>
          <w:p w14:paraId="499F8D94" w14:textId="7970F8C3"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37.54</w:t>
            </w:r>
          </w:p>
        </w:tc>
        <w:tc>
          <w:tcPr>
            <w:tcW w:w="1536" w:type="dxa"/>
            <w:tcBorders>
              <w:top w:val="nil"/>
              <w:left w:val="nil"/>
              <w:bottom w:val="nil"/>
              <w:right w:val="nil"/>
            </w:tcBorders>
            <w:shd w:val="clear" w:color="auto" w:fill="auto"/>
            <w:noWrap/>
            <w:vAlign w:val="center"/>
            <w:hideMark/>
          </w:tcPr>
          <w:p w14:paraId="09073166" w14:textId="38BCECE8"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38.33</w:t>
            </w:r>
          </w:p>
        </w:tc>
      </w:tr>
      <w:tr w:rsidR="0040107F" w:rsidRPr="00E21717" w14:paraId="73B1886E" w14:textId="77777777" w:rsidTr="0040107F">
        <w:trPr>
          <w:trHeight w:val="302"/>
        </w:trPr>
        <w:tc>
          <w:tcPr>
            <w:tcW w:w="3031" w:type="dxa"/>
            <w:tcBorders>
              <w:top w:val="nil"/>
              <w:left w:val="nil"/>
              <w:bottom w:val="nil"/>
              <w:right w:val="nil"/>
            </w:tcBorders>
            <w:shd w:val="clear" w:color="auto" w:fill="auto"/>
            <w:noWrap/>
            <w:vAlign w:val="center"/>
            <w:hideMark/>
          </w:tcPr>
          <w:p w14:paraId="1007BDC6" w14:textId="77777777" w:rsidR="0040107F" w:rsidRPr="00E21717" w:rsidRDefault="0040107F"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Bank of Montreal </w:t>
            </w:r>
          </w:p>
        </w:tc>
        <w:tc>
          <w:tcPr>
            <w:tcW w:w="1879" w:type="dxa"/>
            <w:tcBorders>
              <w:top w:val="nil"/>
              <w:left w:val="nil"/>
              <w:bottom w:val="nil"/>
              <w:right w:val="nil"/>
            </w:tcBorders>
            <w:shd w:val="clear" w:color="auto" w:fill="auto"/>
            <w:noWrap/>
            <w:vAlign w:val="center"/>
            <w:hideMark/>
          </w:tcPr>
          <w:p w14:paraId="1407FD9E" w14:textId="6CA497C6"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16.17</w:t>
            </w:r>
          </w:p>
        </w:tc>
        <w:tc>
          <w:tcPr>
            <w:tcW w:w="2041" w:type="dxa"/>
            <w:tcBorders>
              <w:top w:val="nil"/>
              <w:left w:val="nil"/>
              <w:bottom w:val="nil"/>
              <w:right w:val="nil"/>
            </w:tcBorders>
            <w:shd w:val="clear" w:color="auto" w:fill="auto"/>
            <w:noWrap/>
            <w:vAlign w:val="center"/>
            <w:hideMark/>
          </w:tcPr>
          <w:p w14:paraId="11996214" w14:textId="0743FDB5"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18.29</w:t>
            </w:r>
          </w:p>
        </w:tc>
        <w:tc>
          <w:tcPr>
            <w:tcW w:w="1536" w:type="dxa"/>
            <w:tcBorders>
              <w:top w:val="nil"/>
              <w:left w:val="nil"/>
              <w:bottom w:val="nil"/>
              <w:right w:val="nil"/>
            </w:tcBorders>
            <w:shd w:val="clear" w:color="auto" w:fill="auto"/>
            <w:noWrap/>
            <w:vAlign w:val="center"/>
            <w:hideMark/>
          </w:tcPr>
          <w:p w14:paraId="44545E46" w14:textId="24BCC775"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11.89</w:t>
            </w:r>
          </w:p>
        </w:tc>
      </w:tr>
      <w:tr w:rsidR="0040107F" w:rsidRPr="00E21717" w14:paraId="0FA9450A" w14:textId="77777777" w:rsidTr="0040107F">
        <w:trPr>
          <w:trHeight w:val="302"/>
        </w:trPr>
        <w:tc>
          <w:tcPr>
            <w:tcW w:w="3031" w:type="dxa"/>
            <w:tcBorders>
              <w:top w:val="nil"/>
              <w:left w:val="nil"/>
              <w:bottom w:val="nil"/>
              <w:right w:val="nil"/>
            </w:tcBorders>
            <w:shd w:val="clear" w:color="auto" w:fill="auto"/>
            <w:noWrap/>
            <w:vAlign w:val="center"/>
            <w:hideMark/>
          </w:tcPr>
          <w:p w14:paraId="7CCBDE77" w14:textId="77777777" w:rsidR="0040107F" w:rsidRPr="00E21717" w:rsidRDefault="0040107F" w:rsidP="0040107F">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Barclays PLC</w:t>
            </w:r>
          </w:p>
        </w:tc>
        <w:tc>
          <w:tcPr>
            <w:tcW w:w="1879" w:type="dxa"/>
            <w:tcBorders>
              <w:top w:val="nil"/>
              <w:left w:val="nil"/>
              <w:bottom w:val="nil"/>
              <w:right w:val="nil"/>
            </w:tcBorders>
            <w:shd w:val="clear" w:color="auto" w:fill="auto"/>
            <w:noWrap/>
            <w:vAlign w:val="center"/>
            <w:hideMark/>
          </w:tcPr>
          <w:p w14:paraId="34227AD6" w14:textId="469C8E72"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27.12</w:t>
            </w:r>
          </w:p>
        </w:tc>
        <w:tc>
          <w:tcPr>
            <w:tcW w:w="2041" w:type="dxa"/>
            <w:tcBorders>
              <w:top w:val="nil"/>
              <w:left w:val="nil"/>
              <w:bottom w:val="nil"/>
              <w:right w:val="nil"/>
            </w:tcBorders>
            <w:shd w:val="clear" w:color="auto" w:fill="auto"/>
            <w:noWrap/>
            <w:vAlign w:val="center"/>
            <w:hideMark/>
          </w:tcPr>
          <w:p w14:paraId="29CF241B" w14:textId="0D99579F"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39.52</w:t>
            </w:r>
          </w:p>
        </w:tc>
        <w:tc>
          <w:tcPr>
            <w:tcW w:w="1536" w:type="dxa"/>
            <w:tcBorders>
              <w:top w:val="nil"/>
              <w:left w:val="nil"/>
              <w:bottom w:val="nil"/>
              <w:right w:val="nil"/>
            </w:tcBorders>
            <w:shd w:val="clear" w:color="auto" w:fill="auto"/>
            <w:noWrap/>
            <w:vAlign w:val="center"/>
            <w:hideMark/>
          </w:tcPr>
          <w:p w14:paraId="0AA8FAC6" w14:textId="2407465B"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26.29</w:t>
            </w:r>
          </w:p>
        </w:tc>
      </w:tr>
      <w:tr w:rsidR="0040107F" w:rsidRPr="00E21717" w14:paraId="20E5F5AB" w14:textId="77777777" w:rsidTr="0040107F">
        <w:trPr>
          <w:trHeight w:val="302"/>
        </w:trPr>
        <w:tc>
          <w:tcPr>
            <w:tcW w:w="3031" w:type="dxa"/>
            <w:tcBorders>
              <w:top w:val="nil"/>
              <w:left w:val="nil"/>
              <w:bottom w:val="nil"/>
              <w:right w:val="nil"/>
            </w:tcBorders>
            <w:shd w:val="clear" w:color="auto" w:fill="auto"/>
            <w:noWrap/>
            <w:vAlign w:val="center"/>
            <w:hideMark/>
          </w:tcPr>
          <w:p w14:paraId="6BCA5291" w14:textId="77777777" w:rsidR="0040107F" w:rsidRPr="00E21717" w:rsidRDefault="0040107F"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BNP Paribas</w:t>
            </w:r>
          </w:p>
        </w:tc>
        <w:tc>
          <w:tcPr>
            <w:tcW w:w="1879" w:type="dxa"/>
            <w:tcBorders>
              <w:top w:val="nil"/>
              <w:left w:val="nil"/>
              <w:bottom w:val="nil"/>
              <w:right w:val="nil"/>
            </w:tcBorders>
            <w:shd w:val="clear" w:color="auto" w:fill="auto"/>
            <w:noWrap/>
            <w:vAlign w:val="center"/>
            <w:hideMark/>
          </w:tcPr>
          <w:p w14:paraId="4BCE7EE2" w14:textId="5F7C7CE0"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22.71</w:t>
            </w:r>
          </w:p>
        </w:tc>
        <w:tc>
          <w:tcPr>
            <w:tcW w:w="2041" w:type="dxa"/>
            <w:tcBorders>
              <w:top w:val="nil"/>
              <w:left w:val="nil"/>
              <w:bottom w:val="nil"/>
              <w:right w:val="nil"/>
            </w:tcBorders>
            <w:shd w:val="clear" w:color="auto" w:fill="auto"/>
            <w:noWrap/>
            <w:vAlign w:val="center"/>
            <w:hideMark/>
          </w:tcPr>
          <w:p w14:paraId="4BE687D5" w14:textId="31DF6EFC"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39.90</w:t>
            </w:r>
          </w:p>
        </w:tc>
        <w:tc>
          <w:tcPr>
            <w:tcW w:w="1536" w:type="dxa"/>
            <w:tcBorders>
              <w:top w:val="nil"/>
              <w:left w:val="nil"/>
              <w:bottom w:val="nil"/>
              <w:right w:val="nil"/>
            </w:tcBorders>
            <w:shd w:val="clear" w:color="auto" w:fill="auto"/>
            <w:noWrap/>
            <w:vAlign w:val="center"/>
            <w:hideMark/>
          </w:tcPr>
          <w:p w14:paraId="65F5C726" w14:textId="408F79C9"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25.85</w:t>
            </w:r>
          </w:p>
        </w:tc>
      </w:tr>
      <w:tr w:rsidR="0040107F" w:rsidRPr="00E21717" w14:paraId="7A4B0B06" w14:textId="77777777" w:rsidTr="0040107F">
        <w:trPr>
          <w:trHeight w:val="302"/>
        </w:trPr>
        <w:tc>
          <w:tcPr>
            <w:tcW w:w="3031" w:type="dxa"/>
            <w:tcBorders>
              <w:top w:val="nil"/>
              <w:left w:val="nil"/>
              <w:bottom w:val="nil"/>
              <w:right w:val="nil"/>
            </w:tcBorders>
            <w:shd w:val="clear" w:color="auto" w:fill="auto"/>
            <w:noWrap/>
            <w:vAlign w:val="center"/>
            <w:hideMark/>
          </w:tcPr>
          <w:p w14:paraId="310E5413" w14:textId="77777777" w:rsidR="0040107F" w:rsidRPr="00E21717" w:rsidRDefault="0040107F" w:rsidP="0040107F">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Commerzbank </w:t>
            </w:r>
          </w:p>
        </w:tc>
        <w:tc>
          <w:tcPr>
            <w:tcW w:w="1879" w:type="dxa"/>
            <w:tcBorders>
              <w:top w:val="nil"/>
              <w:left w:val="nil"/>
              <w:bottom w:val="nil"/>
              <w:right w:val="nil"/>
            </w:tcBorders>
            <w:shd w:val="clear" w:color="auto" w:fill="auto"/>
            <w:noWrap/>
            <w:vAlign w:val="center"/>
            <w:hideMark/>
          </w:tcPr>
          <w:p w14:paraId="0DBC242A" w14:textId="4595AE33"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28.67</w:t>
            </w:r>
          </w:p>
        </w:tc>
        <w:tc>
          <w:tcPr>
            <w:tcW w:w="2041" w:type="dxa"/>
            <w:tcBorders>
              <w:top w:val="nil"/>
              <w:left w:val="nil"/>
              <w:bottom w:val="nil"/>
              <w:right w:val="nil"/>
            </w:tcBorders>
            <w:shd w:val="clear" w:color="auto" w:fill="auto"/>
            <w:noWrap/>
            <w:vAlign w:val="center"/>
            <w:hideMark/>
          </w:tcPr>
          <w:p w14:paraId="05C408C6" w14:textId="2CBB224C"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47.76</w:t>
            </w:r>
          </w:p>
        </w:tc>
        <w:tc>
          <w:tcPr>
            <w:tcW w:w="1536" w:type="dxa"/>
            <w:tcBorders>
              <w:top w:val="nil"/>
              <w:left w:val="nil"/>
              <w:bottom w:val="nil"/>
              <w:right w:val="nil"/>
            </w:tcBorders>
            <w:shd w:val="clear" w:color="auto" w:fill="auto"/>
            <w:noWrap/>
            <w:vAlign w:val="center"/>
            <w:hideMark/>
          </w:tcPr>
          <w:p w14:paraId="4C91392B" w14:textId="3CA0B919"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34.66</w:t>
            </w:r>
          </w:p>
        </w:tc>
      </w:tr>
      <w:tr w:rsidR="0040107F" w:rsidRPr="00E21717" w14:paraId="52F53442" w14:textId="77777777" w:rsidTr="0040107F">
        <w:trPr>
          <w:trHeight w:val="302"/>
        </w:trPr>
        <w:tc>
          <w:tcPr>
            <w:tcW w:w="3031" w:type="dxa"/>
            <w:tcBorders>
              <w:top w:val="nil"/>
              <w:left w:val="nil"/>
              <w:bottom w:val="nil"/>
              <w:right w:val="nil"/>
            </w:tcBorders>
            <w:shd w:val="clear" w:color="auto" w:fill="auto"/>
            <w:noWrap/>
            <w:vAlign w:val="center"/>
            <w:hideMark/>
          </w:tcPr>
          <w:p w14:paraId="2BF2CE4E" w14:textId="77777777" w:rsidR="0040107F" w:rsidRPr="00E21717" w:rsidRDefault="0040107F"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Credit Suisse Group </w:t>
            </w:r>
          </w:p>
        </w:tc>
        <w:tc>
          <w:tcPr>
            <w:tcW w:w="1879" w:type="dxa"/>
            <w:tcBorders>
              <w:top w:val="nil"/>
              <w:left w:val="nil"/>
              <w:bottom w:val="nil"/>
              <w:right w:val="nil"/>
            </w:tcBorders>
            <w:shd w:val="clear" w:color="auto" w:fill="auto"/>
            <w:noWrap/>
            <w:vAlign w:val="center"/>
            <w:hideMark/>
          </w:tcPr>
          <w:p w14:paraId="1CE15A2F" w14:textId="74477448"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22.68</w:t>
            </w:r>
          </w:p>
        </w:tc>
        <w:tc>
          <w:tcPr>
            <w:tcW w:w="2041" w:type="dxa"/>
            <w:tcBorders>
              <w:top w:val="nil"/>
              <w:left w:val="nil"/>
              <w:bottom w:val="nil"/>
              <w:right w:val="nil"/>
            </w:tcBorders>
            <w:shd w:val="clear" w:color="auto" w:fill="auto"/>
            <w:noWrap/>
            <w:vAlign w:val="center"/>
            <w:hideMark/>
          </w:tcPr>
          <w:p w14:paraId="0C4D7A5E" w14:textId="2D13D5B7"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31.32</w:t>
            </w:r>
          </w:p>
        </w:tc>
        <w:tc>
          <w:tcPr>
            <w:tcW w:w="1536" w:type="dxa"/>
            <w:tcBorders>
              <w:top w:val="nil"/>
              <w:left w:val="nil"/>
              <w:bottom w:val="nil"/>
              <w:right w:val="nil"/>
            </w:tcBorders>
            <w:shd w:val="clear" w:color="auto" w:fill="auto"/>
            <w:noWrap/>
            <w:vAlign w:val="center"/>
            <w:hideMark/>
          </w:tcPr>
          <w:p w14:paraId="135C31F5" w14:textId="2EB63D9E"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21.56</w:t>
            </w:r>
          </w:p>
        </w:tc>
      </w:tr>
      <w:tr w:rsidR="0040107F" w:rsidRPr="00E21717" w14:paraId="068B68E7" w14:textId="77777777" w:rsidTr="0040107F">
        <w:trPr>
          <w:trHeight w:val="302"/>
        </w:trPr>
        <w:tc>
          <w:tcPr>
            <w:tcW w:w="3031" w:type="dxa"/>
            <w:tcBorders>
              <w:top w:val="nil"/>
              <w:left w:val="nil"/>
              <w:bottom w:val="nil"/>
              <w:right w:val="nil"/>
            </w:tcBorders>
            <w:shd w:val="clear" w:color="auto" w:fill="auto"/>
            <w:noWrap/>
            <w:vAlign w:val="center"/>
            <w:hideMark/>
          </w:tcPr>
          <w:p w14:paraId="23E2A0EB" w14:textId="77777777" w:rsidR="0040107F" w:rsidRPr="00E21717" w:rsidRDefault="0040107F" w:rsidP="0040107F">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Danske</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48442226" w14:textId="103D366B"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21.74</w:t>
            </w:r>
          </w:p>
        </w:tc>
        <w:tc>
          <w:tcPr>
            <w:tcW w:w="2041" w:type="dxa"/>
            <w:tcBorders>
              <w:top w:val="nil"/>
              <w:left w:val="nil"/>
              <w:bottom w:val="nil"/>
              <w:right w:val="nil"/>
            </w:tcBorders>
            <w:shd w:val="clear" w:color="auto" w:fill="auto"/>
            <w:noWrap/>
            <w:vAlign w:val="center"/>
            <w:hideMark/>
          </w:tcPr>
          <w:p w14:paraId="78DEF048" w14:textId="649061E0"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33.70</w:t>
            </w:r>
          </w:p>
        </w:tc>
        <w:tc>
          <w:tcPr>
            <w:tcW w:w="1536" w:type="dxa"/>
            <w:tcBorders>
              <w:top w:val="nil"/>
              <w:left w:val="nil"/>
              <w:bottom w:val="nil"/>
              <w:right w:val="nil"/>
            </w:tcBorders>
            <w:shd w:val="clear" w:color="auto" w:fill="auto"/>
            <w:noWrap/>
            <w:vAlign w:val="center"/>
            <w:hideMark/>
          </w:tcPr>
          <w:p w14:paraId="1BB4EA40" w14:textId="1C44FFB3"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21.48</w:t>
            </w:r>
          </w:p>
        </w:tc>
      </w:tr>
      <w:tr w:rsidR="0040107F" w:rsidRPr="00E21717" w14:paraId="6F48DA05" w14:textId="77777777" w:rsidTr="0040107F">
        <w:trPr>
          <w:trHeight w:val="302"/>
        </w:trPr>
        <w:tc>
          <w:tcPr>
            <w:tcW w:w="3031" w:type="dxa"/>
            <w:tcBorders>
              <w:top w:val="nil"/>
              <w:left w:val="nil"/>
              <w:bottom w:val="nil"/>
              <w:right w:val="nil"/>
            </w:tcBorders>
            <w:shd w:val="clear" w:color="auto" w:fill="auto"/>
            <w:noWrap/>
            <w:vAlign w:val="center"/>
            <w:hideMark/>
          </w:tcPr>
          <w:p w14:paraId="2D441C9E" w14:textId="77777777" w:rsidR="0040107F" w:rsidRPr="00E21717" w:rsidRDefault="0040107F"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Deutsche Bank </w:t>
            </w:r>
          </w:p>
        </w:tc>
        <w:tc>
          <w:tcPr>
            <w:tcW w:w="1879" w:type="dxa"/>
            <w:tcBorders>
              <w:top w:val="nil"/>
              <w:left w:val="nil"/>
              <w:bottom w:val="nil"/>
              <w:right w:val="nil"/>
            </w:tcBorders>
            <w:shd w:val="clear" w:color="auto" w:fill="auto"/>
            <w:noWrap/>
            <w:vAlign w:val="center"/>
            <w:hideMark/>
          </w:tcPr>
          <w:p w14:paraId="290AA3CE" w14:textId="7400D2C2"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22.65</w:t>
            </w:r>
          </w:p>
        </w:tc>
        <w:tc>
          <w:tcPr>
            <w:tcW w:w="2041" w:type="dxa"/>
            <w:tcBorders>
              <w:top w:val="nil"/>
              <w:left w:val="nil"/>
              <w:bottom w:val="nil"/>
              <w:right w:val="nil"/>
            </w:tcBorders>
            <w:shd w:val="clear" w:color="auto" w:fill="auto"/>
            <w:noWrap/>
            <w:vAlign w:val="center"/>
            <w:hideMark/>
          </w:tcPr>
          <w:p w14:paraId="183AD77A" w14:textId="4F33E4F5"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35.19</w:t>
            </w:r>
          </w:p>
        </w:tc>
        <w:tc>
          <w:tcPr>
            <w:tcW w:w="1536" w:type="dxa"/>
            <w:tcBorders>
              <w:top w:val="nil"/>
              <w:left w:val="nil"/>
              <w:bottom w:val="nil"/>
              <w:right w:val="nil"/>
            </w:tcBorders>
            <w:shd w:val="clear" w:color="auto" w:fill="auto"/>
            <w:noWrap/>
            <w:vAlign w:val="center"/>
            <w:hideMark/>
          </w:tcPr>
          <w:p w14:paraId="24691B4B" w14:textId="3C86AC3D"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24.89</w:t>
            </w:r>
          </w:p>
        </w:tc>
      </w:tr>
      <w:tr w:rsidR="0040107F" w:rsidRPr="00E21717" w14:paraId="60C15BA3" w14:textId="77777777" w:rsidTr="0040107F">
        <w:trPr>
          <w:trHeight w:val="302"/>
        </w:trPr>
        <w:tc>
          <w:tcPr>
            <w:tcW w:w="3031" w:type="dxa"/>
            <w:tcBorders>
              <w:top w:val="nil"/>
              <w:left w:val="nil"/>
              <w:bottom w:val="nil"/>
              <w:right w:val="nil"/>
            </w:tcBorders>
            <w:shd w:val="clear" w:color="auto" w:fill="auto"/>
            <w:noWrap/>
            <w:vAlign w:val="center"/>
            <w:hideMark/>
          </w:tcPr>
          <w:p w14:paraId="58E0E07C" w14:textId="77777777" w:rsidR="0040107F" w:rsidRPr="00E21717" w:rsidRDefault="0040107F" w:rsidP="0040107F">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HSBC Holdings</w:t>
            </w:r>
          </w:p>
        </w:tc>
        <w:tc>
          <w:tcPr>
            <w:tcW w:w="1879" w:type="dxa"/>
            <w:tcBorders>
              <w:top w:val="nil"/>
              <w:left w:val="nil"/>
              <w:bottom w:val="nil"/>
              <w:right w:val="nil"/>
            </w:tcBorders>
            <w:shd w:val="clear" w:color="auto" w:fill="auto"/>
            <w:noWrap/>
            <w:vAlign w:val="center"/>
            <w:hideMark/>
          </w:tcPr>
          <w:p w14:paraId="4610D9D3" w14:textId="15A212C5"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16.08</w:t>
            </w:r>
          </w:p>
        </w:tc>
        <w:tc>
          <w:tcPr>
            <w:tcW w:w="2041" w:type="dxa"/>
            <w:tcBorders>
              <w:top w:val="nil"/>
              <w:left w:val="nil"/>
              <w:bottom w:val="nil"/>
              <w:right w:val="nil"/>
            </w:tcBorders>
            <w:shd w:val="clear" w:color="auto" w:fill="auto"/>
            <w:noWrap/>
            <w:vAlign w:val="center"/>
            <w:hideMark/>
          </w:tcPr>
          <w:p w14:paraId="0F815942" w14:textId="71EE4C28"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22.06</w:t>
            </w:r>
          </w:p>
        </w:tc>
        <w:tc>
          <w:tcPr>
            <w:tcW w:w="1536" w:type="dxa"/>
            <w:tcBorders>
              <w:top w:val="nil"/>
              <w:left w:val="nil"/>
              <w:bottom w:val="nil"/>
              <w:right w:val="nil"/>
            </w:tcBorders>
            <w:shd w:val="clear" w:color="auto" w:fill="auto"/>
            <w:noWrap/>
            <w:vAlign w:val="center"/>
            <w:hideMark/>
          </w:tcPr>
          <w:p w14:paraId="7049F823" w14:textId="7C6BA430"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16.70</w:t>
            </w:r>
          </w:p>
        </w:tc>
      </w:tr>
      <w:tr w:rsidR="0040107F" w:rsidRPr="00E21717" w14:paraId="65E0FA30" w14:textId="77777777" w:rsidTr="0040107F">
        <w:trPr>
          <w:trHeight w:val="302"/>
        </w:trPr>
        <w:tc>
          <w:tcPr>
            <w:tcW w:w="3031" w:type="dxa"/>
            <w:tcBorders>
              <w:top w:val="nil"/>
              <w:left w:val="nil"/>
              <w:bottom w:val="nil"/>
              <w:right w:val="nil"/>
            </w:tcBorders>
            <w:shd w:val="clear" w:color="auto" w:fill="auto"/>
            <w:noWrap/>
            <w:vAlign w:val="center"/>
            <w:hideMark/>
          </w:tcPr>
          <w:p w14:paraId="74E55F0B" w14:textId="77777777" w:rsidR="0040107F" w:rsidRPr="00E21717" w:rsidRDefault="0040107F"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ING Bank N.V. </w:t>
            </w:r>
          </w:p>
        </w:tc>
        <w:tc>
          <w:tcPr>
            <w:tcW w:w="1879" w:type="dxa"/>
            <w:tcBorders>
              <w:top w:val="nil"/>
              <w:left w:val="nil"/>
              <w:bottom w:val="nil"/>
              <w:right w:val="nil"/>
            </w:tcBorders>
            <w:shd w:val="clear" w:color="auto" w:fill="auto"/>
            <w:noWrap/>
            <w:vAlign w:val="center"/>
            <w:hideMark/>
          </w:tcPr>
          <w:p w14:paraId="1E7C193E" w14:textId="5345020D"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20.84</w:t>
            </w:r>
          </w:p>
        </w:tc>
        <w:tc>
          <w:tcPr>
            <w:tcW w:w="2041" w:type="dxa"/>
            <w:tcBorders>
              <w:top w:val="nil"/>
              <w:left w:val="nil"/>
              <w:bottom w:val="nil"/>
              <w:right w:val="nil"/>
            </w:tcBorders>
            <w:shd w:val="clear" w:color="auto" w:fill="auto"/>
            <w:noWrap/>
            <w:vAlign w:val="center"/>
            <w:hideMark/>
          </w:tcPr>
          <w:p w14:paraId="19E116E6" w14:textId="56F38752"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39.94</w:t>
            </w:r>
          </w:p>
        </w:tc>
        <w:tc>
          <w:tcPr>
            <w:tcW w:w="1536" w:type="dxa"/>
            <w:tcBorders>
              <w:top w:val="nil"/>
              <w:left w:val="nil"/>
              <w:bottom w:val="nil"/>
              <w:right w:val="nil"/>
            </w:tcBorders>
            <w:shd w:val="clear" w:color="auto" w:fill="auto"/>
            <w:noWrap/>
            <w:vAlign w:val="center"/>
            <w:hideMark/>
          </w:tcPr>
          <w:p w14:paraId="6B3831F2" w14:textId="72005CDC"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27.96</w:t>
            </w:r>
          </w:p>
        </w:tc>
      </w:tr>
      <w:tr w:rsidR="0040107F" w:rsidRPr="00E21717" w14:paraId="3785D019" w14:textId="77777777" w:rsidTr="0040107F">
        <w:trPr>
          <w:trHeight w:val="302"/>
        </w:trPr>
        <w:tc>
          <w:tcPr>
            <w:tcW w:w="3031" w:type="dxa"/>
            <w:tcBorders>
              <w:top w:val="nil"/>
              <w:left w:val="nil"/>
              <w:bottom w:val="nil"/>
              <w:right w:val="nil"/>
            </w:tcBorders>
            <w:shd w:val="clear" w:color="auto" w:fill="auto"/>
            <w:noWrap/>
            <w:vAlign w:val="center"/>
            <w:hideMark/>
          </w:tcPr>
          <w:p w14:paraId="02EAE539" w14:textId="77777777" w:rsidR="0040107F" w:rsidRPr="00E21717" w:rsidRDefault="0040107F" w:rsidP="0040107F">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Intesa</w:t>
            </w:r>
            <w:proofErr w:type="spellEnd"/>
            <w:r w:rsidRPr="00E21717">
              <w:rPr>
                <w:rFonts w:ascii="dcr10" w:eastAsia="Times New Roman" w:hAnsi="dcr10" w:cs="Times New Roman"/>
                <w:color w:val="000000"/>
                <w:sz w:val="18"/>
                <w:szCs w:val="18"/>
              </w:rPr>
              <w:t xml:space="preserve"> </w:t>
            </w:r>
            <w:proofErr w:type="spellStart"/>
            <w:r w:rsidRPr="00E21717">
              <w:rPr>
                <w:rFonts w:ascii="dcr10" w:eastAsia="Times New Roman" w:hAnsi="dcr10" w:cs="Times New Roman"/>
                <w:color w:val="000000"/>
                <w:sz w:val="18"/>
                <w:szCs w:val="18"/>
              </w:rPr>
              <w:t>Sanpaolo</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086870C3" w14:textId="7308B8C4"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20.63</w:t>
            </w:r>
          </w:p>
        </w:tc>
        <w:tc>
          <w:tcPr>
            <w:tcW w:w="2041" w:type="dxa"/>
            <w:tcBorders>
              <w:top w:val="nil"/>
              <w:left w:val="nil"/>
              <w:bottom w:val="nil"/>
              <w:right w:val="nil"/>
            </w:tcBorders>
            <w:shd w:val="clear" w:color="auto" w:fill="auto"/>
            <w:noWrap/>
            <w:vAlign w:val="center"/>
            <w:hideMark/>
          </w:tcPr>
          <w:p w14:paraId="29BA8D09" w14:textId="7A4126A9"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40.96</w:t>
            </w:r>
          </w:p>
        </w:tc>
        <w:tc>
          <w:tcPr>
            <w:tcW w:w="1536" w:type="dxa"/>
            <w:tcBorders>
              <w:top w:val="nil"/>
              <w:left w:val="nil"/>
              <w:bottom w:val="nil"/>
              <w:right w:val="nil"/>
            </w:tcBorders>
            <w:shd w:val="clear" w:color="auto" w:fill="auto"/>
            <w:noWrap/>
            <w:vAlign w:val="center"/>
            <w:hideMark/>
          </w:tcPr>
          <w:p w14:paraId="74C15279" w14:textId="38D44545"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31.99</w:t>
            </w:r>
          </w:p>
        </w:tc>
      </w:tr>
      <w:tr w:rsidR="0040107F" w:rsidRPr="00E21717" w14:paraId="2AFEF56D" w14:textId="77777777" w:rsidTr="0040107F">
        <w:trPr>
          <w:trHeight w:val="302"/>
        </w:trPr>
        <w:tc>
          <w:tcPr>
            <w:tcW w:w="3031" w:type="dxa"/>
            <w:tcBorders>
              <w:top w:val="nil"/>
              <w:left w:val="nil"/>
              <w:bottom w:val="nil"/>
              <w:right w:val="nil"/>
            </w:tcBorders>
            <w:shd w:val="clear" w:color="auto" w:fill="auto"/>
            <w:noWrap/>
            <w:vAlign w:val="center"/>
            <w:hideMark/>
          </w:tcPr>
          <w:p w14:paraId="238D331D" w14:textId="77777777" w:rsidR="0040107F" w:rsidRPr="00E21717" w:rsidRDefault="0040107F"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Lloyds Banking Group </w:t>
            </w:r>
          </w:p>
        </w:tc>
        <w:tc>
          <w:tcPr>
            <w:tcW w:w="1879" w:type="dxa"/>
            <w:tcBorders>
              <w:top w:val="nil"/>
              <w:left w:val="nil"/>
              <w:bottom w:val="nil"/>
              <w:right w:val="nil"/>
            </w:tcBorders>
            <w:shd w:val="clear" w:color="auto" w:fill="auto"/>
            <w:noWrap/>
            <w:vAlign w:val="center"/>
            <w:hideMark/>
          </w:tcPr>
          <w:p w14:paraId="7AEEA5D1" w14:textId="4D14C4E9"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22.58</w:t>
            </w:r>
          </w:p>
        </w:tc>
        <w:tc>
          <w:tcPr>
            <w:tcW w:w="2041" w:type="dxa"/>
            <w:tcBorders>
              <w:top w:val="nil"/>
              <w:left w:val="nil"/>
              <w:bottom w:val="nil"/>
              <w:right w:val="nil"/>
            </w:tcBorders>
            <w:shd w:val="clear" w:color="auto" w:fill="auto"/>
            <w:noWrap/>
            <w:vAlign w:val="center"/>
            <w:hideMark/>
          </w:tcPr>
          <w:p w14:paraId="305C2B4D" w14:textId="198B1144"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40.03</w:t>
            </w:r>
          </w:p>
        </w:tc>
        <w:tc>
          <w:tcPr>
            <w:tcW w:w="1536" w:type="dxa"/>
            <w:tcBorders>
              <w:top w:val="nil"/>
              <w:left w:val="nil"/>
              <w:bottom w:val="nil"/>
              <w:right w:val="nil"/>
            </w:tcBorders>
            <w:shd w:val="clear" w:color="auto" w:fill="auto"/>
            <w:noWrap/>
            <w:vAlign w:val="center"/>
            <w:hideMark/>
          </w:tcPr>
          <w:p w14:paraId="5AF603DC" w14:textId="34545315"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24.22</w:t>
            </w:r>
          </w:p>
        </w:tc>
      </w:tr>
      <w:tr w:rsidR="0040107F" w:rsidRPr="00E21717" w14:paraId="6154D0B8" w14:textId="77777777" w:rsidTr="0040107F">
        <w:trPr>
          <w:trHeight w:val="302"/>
        </w:trPr>
        <w:tc>
          <w:tcPr>
            <w:tcW w:w="3031" w:type="dxa"/>
            <w:tcBorders>
              <w:top w:val="nil"/>
              <w:left w:val="nil"/>
              <w:bottom w:val="nil"/>
              <w:right w:val="nil"/>
            </w:tcBorders>
            <w:shd w:val="clear" w:color="auto" w:fill="auto"/>
            <w:noWrap/>
            <w:vAlign w:val="center"/>
            <w:hideMark/>
          </w:tcPr>
          <w:p w14:paraId="121A1CA9" w14:textId="77777777" w:rsidR="0040107F" w:rsidRPr="00E21717" w:rsidRDefault="0040107F" w:rsidP="0040107F">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Mitsubishi Financial Group </w:t>
            </w:r>
          </w:p>
        </w:tc>
        <w:tc>
          <w:tcPr>
            <w:tcW w:w="1879" w:type="dxa"/>
            <w:tcBorders>
              <w:top w:val="nil"/>
              <w:left w:val="nil"/>
              <w:bottom w:val="nil"/>
              <w:right w:val="nil"/>
            </w:tcBorders>
            <w:shd w:val="clear" w:color="auto" w:fill="auto"/>
            <w:noWrap/>
            <w:vAlign w:val="center"/>
            <w:hideMark/>
          </w:tcPr>
          <w:p w14:paraId="0ECA2C81" w14:textId="28BE9CC8"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28.94</w:t>
            </w:r>
          </w:p>
        </w:tc>
        <w:tc>
          <w:tcPr>
            <w:tcW w:w="2041" w:type="dxa"/>
            <w:tcBorders>
              <w:top w:val="nil"/>
              <w:left w:val="nil"/>
              <w:bottom w:val="nil"/>
              <w:right w:val="nil"/>
            </w:tcBorders>
            <w:shd w:val="clear" w:color="auto" w:fill="auto"/>
            <w:noWrap/>
            <w:vAlign w:val="center"/>
            <w:hideMark/>
          </w:tcPr>
          <w:p w14:paraId="7D1A11AC" w14:textId="40280CD3"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28.95</w:t>
            </w:r>
          </w:p>
        </w:tc>
        <w:tc>
          <w:tcPr>
            <w:tcW w:w="1536" w:type="dxa"/>
            <w:tcBorders>
              <w:top w:val="nil"/>
              <w:left w:val="nil"/>
              <w:bottom w:val="nil"/>
              <w:right w:val="nil"/>
            </w:tcBorders>
            <w:shd w:val="clear" w:color="auto" w:fill="auto"/>
            <w:noWrap/>
            <w:vAlign w:val="center"/>
            <w:hideMark/>
          </w:tcPr>
          <w:p w14:paraId="6C24F841" w14:textId="14D174EE"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25.18</w:t>
            </w:r>
          </w:p>
        </w:tc>
      </w:tr>
      <w:tr w:rsidR="0040107F" w:rsidRPr="00E21717" w14:paraId="76707539" w14:textId="77777777" w:rsidTr="0040107F">
        <w:trPr>
          <w:trHeight w:val="302"/>
        </w:trPr>
        <w:tc>
          <w:tcPr>
            <w:tcW w:w="3031" w:type="dxa"/>
            <w:tcBorders>
              <w:top w:val="nil"/>
              <w:left w:val="nil"/>
              <w:bottom w:val="nil"/>
              <w:right w:val="nil"/>
            </w:tcBorders>
            <w:shd w:val="clear" w:color="auto" w:fill="auto"/>
            <w:noWrap/>
            <w:vAlign w:val="center"/>
            <w:hideMark/>
          </w:tcPr>
          <w:p w14:paraId="0DD80D78" w14:textId="77777777" w:rsidR="0040107F" w:rsidRPr="00E21717" w:rsidRDefault="0040107F"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Mizuho Financial Group </w:t>
            </w:r>
          </w:p>
        </w:tc>
        <w:tc>
          <w:tcPr>
            <w:tcW w:w="1879" w:type="dxa"/>
            <w:tcBorders>
              <w:top w:val="nil"/>
              <w:left w:val="nil"/>
              <w:bottom w:val="nil"/>
              <w:right w:val="nil"/>
            </w:tcBorders>
            <w:shd w:val="clear" w:color="auto" w:fill="auto"/>
            <w:noWrap/>
            <w:vAlign w:val="center"/>
            <w:hideMark/>
          </w:tcPr>
          <w:p w14:paraId="34897A47" w14:textId="6C19A910"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26.80</w:t>
            </w:r>
          </w:p>
        </w:tc>
        <w:tc>
          <w:tcPr>
            <w:tcW w:w="2041" w:type="dxa"/>
            <w:tcBorders>
              <w:top w:val="nil"/>
              <w:left w:val="nil"/>
              <w:bottom w:val="nil"/>
              <w:right w:val="nil"/>
            </w:tcBorders>
            <w:shd w:val="clear" w:color="auto" w:fill="auto"/>
            <w:noWrap/>
            <w:vAlign w:val="center"/>
            <w:hideMark/>
          </w:tcPr>
          <w:p w14:paraId="1924CCCA" w14:textId="776AA2B2"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28.40</w:t>
            </w:r>
          </w:p>
        </w:tc>
        <w:tc>
          <w:tcPr>
            <w:tcW w:w="1536" w:type="dxa"/>
            <w:tcBorders>
              <w:top w:val="nil"/>
              <w:left w:val="nil"/>
              <w:bottom w:val="nil"/>
              <w:right w:val="nil"/>
            </w:tcBorders>
            <w:shd w:val="clear" w:color="auto" w:fill="auto"/>
            <w:noWrap/>
            <w:vAlign w:val="center"/>
            <w:hideMark/>
          </w:tcPr>
          <w:p w14:paraId="33D11070" w14:textId="34D315E1"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22.20</w:t>
            </w:r>
          </w:p>
        </w:tc>
      </w:tr>
      <w:tr w:rsidR="0040107F" w:rsidRPr="00E21717" w14:paraId="6B52E8C3" w14:textId="77777777" w:rsidTr="0040107F">
        <w:trPr>
          <w:trHeight w:val="302"/>
        </w:trPr>
        <w:tc>
          <w:tcPr>
            <w:tcW w:w="3031" w:type="dxa"/>
            <w:tcBorders>
              <w:top w:val="nil"/>
              <w:left w:val="nil"/>
              <w:bottom w:val="nil"/>
              <w:right w:val="nil"/>
            </w:tcBorders>
            <w:shd w:val="clear" w:color="auto" w:fill="auto"/>
            <w:noWrap/>
            <w:vAlign w:val="center"/>
            <w:hideMark/>
          </w:tcPr>
          <w:p w14:paraId="534DF20F" w14:textId="77777777" w:rsidR="0040107F" w:rsidRPr="00E21717" w:rsidRDefault="0040107F" w:rsidP="0040107F">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Natixis</w:t>
            </w:r>
            <w:proofErr w:type="spellEnd"/>
          </w:p>
        </w:tc>
        <w:tc>
          <w:tcPr>
            <w:tcW w:w="1879" w:type="dxa"/>
            <w:tcBorders>
              <w:top w:val="nil"/>
              <w:left w:val="nil"/>
              <w:bottom w:val="nil"/>
              <w:right w:val="nil"/>
            </w:tcBorders>
            <w:shd w:val="clear" w:color="auto" w:fill="auto"/>
            <w:noWrap/>
            <w:vAlign w:val="center"/>
            <w:hideMark/>
          </w:tcPr>
          <w:p w14:paraId="704C0815" w14:textId="79CAD12B" w:rsidR="0040107F" w:rsidRPr="00371459" w:rsidRDefault="00BE3E19" w:rsidP="0040107F">
            <w:pPr>
              <w:jc w:val="center"/>
              <w:rPr>
                <w:rFonts w:ascii="dcr10" w:eastAsia="Times New Roman" w:hAnsi="dcr10" w:cs="Times New Roman"/>
                <w:color w:val="000000"/>
                <w:sz w:val="18"/>
                <w:szCs w:val="18"/>
              </w:rPr>
            </w:pPr>
            <w:r>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2FDEF747" w14:textId="50F06D51"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45.45</w:t>
            </w:r>
          </w:p>
        </w:tc>
        <w:tc>
          <w:tcPr>
            <w:tcW w:w="1536" w:type="dxa"/>
            <w:tcBorders>
              <w:top w:val="nil"/>
              <w:left w:val="nil"/>
              <w:bottom w:val="nil"/>
              <w:right w:val="nil"/>
            </w:tcBorders>
            <w:shd w:val="clear" w:color="auto" w:fill="auto"/>
            <w:noWrap/>
            <w:vAlign w:val="center"/>
            <w:hideMark/>
          </w:tcPr>
          <w:p w14:paraId="17C13D21" w14:textId="60968083"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30.53</w:t>
            </w:r>
          </w:p>
        </w:tc>
      </w:tr>
      <w:tr w:rsidR="0040107F" w:rsidRPr="00E21717" w14:paraId="5C088989" w14:textId="77777777" w:rsidTr="0040107F">
        <w:trPr>
          <w:trHeight w:val="282"/>
        </w:trPr>
        <w:tc>
          <w:tcPr>
            <w:tcW w:w="3031" w:type="dxa"/>
            <w:tcBorders>
              <w:top w:val="nil"/>
              <w:left w:val="nil"/>
              <w:bottom w:val="nil"/>
              <w:right w:val="nil"/>
            </w:tcBorders>
            <w:shd w:val="clear" w:color="auto" w:fill="auto"/>
            <w:noWrap/>
            <w:vAlign w:val="center"/>
            <w:hideMark/>
          </w:tcPr>
          <w:p w14:paraId="66B86F82" w14:textId="77777777" w:rsidR="0040107F" w:rsidRPr="00E21717" w:rsidRDefault="0040107F"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National Australia Bank </w:t>
            </w:r>
          </w:p>
        </w:tc>
        <w:tc>
          <w:tcPr>
            <w:tcW w:w="1879" w:type="dxa"/>
            <w:tcBorders>
              <w:top w:val="nil"/>
              <w:left w:val="nil"/>
              <w:bottom w:val="nil"/>
              <w:right w:val="nil"/>
            </w:tcBorders>
            <w:shd w:val="clear" w:color="auto" w:fill="auto"/>
            <w:noWrap/>
            <w:vAlign w:val="center"/>
            <w:hideMark/>
          </w:tcPr>
          <w:p w14:paraId="4C9AB301" w14:textId="78FB0E69"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15.95</w:t>
            </w:r>
          </w:p>
        </w:tc>
        <w:tc>
          <w:tcPr>
            <w:tcW w:w="2041" w:type="dxa"/>
            <w:tcBorders>
              <w:top w:val="nil"/>
              <w:left w:val="nil"/>
              <w:bottom w:val="nil"/>
              <w:right w:val="nil"/>
            </w:tcBorders>
            <w:shd w:val="clear" w:color="auto" w:fill="auto"/>
            <w:noWrap/>
            <w:vAlign w:val="center"/>
            <w:hideMark/>
          </w:tcPr>
          <w:p w14:paraId="65D212F7" w14:textId="081D0A35"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18.53</w:t>
            </w:r>
          </w:p>
        </w:tc>
        <w:tc>
          <w:tcPr>
            <w:tcW w:w="1536" w:type="dxa"/>
            <w:tcBorders>
              <w:top w:val="nil"/>
              <w:left w:val="nil"/>
              <w:bottom w:val="nil"/>
              <w:right w:val="nil"/>
            </w:tcBorders>
            <w:shd w:val="clear" w:color="auto" w:fill="auto"/>
            <w:noWrap/>
            <w:vAlign w:val="center"/>
            <w:hideMark/>
          </w:tcPr>
          <w:p w14:paraId="472E7342" w14:textId="3E26767B"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14.17</w:t>
            </w:r>
          </w:p>
        </w:tc>
      </w:tr>
      <w:tr w:rsidR="0040107F" w:rsidRPr="00E21717" w14:paraId="7B00DD98" w14:textId="77777777" w:rsidTr="0040107F">
        <w:trPr>
          <w:trHeight w:val="302"/>
        </w:trPr>
        <w:tc>
          <w:tcPr>
            <w:tcW w:w="3031" w:type="dxa"/>
            <w:tcBorders>
              <w:top w:val="nil"/>
              <w:left w:val="nil"/>
              <w:bottom w:val="nil"/>
              <w:right w:val="nil"/>
            </w:tcBorders>
            <w:shd w:val="clear" w:color="auto" w:fill="auto"/>
            <w:noWrap/>
            <w:vAlign w:val="center"/>
            <w:hideMark/>
          </w:tcPr>
          <w:p w14:paraId="4E912F73" w14:textId="77777777" w:rsidR="0040107F" w:rsidRPr="00E21717" w:rsidRDefault="0040107F" w:rsidP="0040107F">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Nordea</w:t>
            </w:r>
            <w:proofErr w:type="spellEnd"/>
            <w:r w:rsidRPr="00E21717">
              <w:rPr>
                <w:rFonts w:ascii="dcr10" w:eastAsia="Times New Roman" w:hAnsi="dcr10" w:cs="Times New Roman"/>
                <w:color w:val="000000"/>
                <w:sz w:val="18"/>
                <w:szCs w:val="18"/>
              </w:rPr>
              <w:t xml:space="preserve"> Bank </w:t>
            </w:r>
          </w:p>
        </w:tc>
        <w:tc>
          <w:tcPr>
            <w:tcW w:w="1879" w:type="dxa"/>
            <w:tcBorders>
              <w:top w:val="nil"/>
              <w:left w:val="nil"/>
              <w:bottom w:val="nil"/>
              <w:right w:val="nil"/>
            </w:tcBorders>
            <w:shd w:val="clear" w:color="auto" w:fill="auto"/>
            <w:noWrap/>
            <w:vAlign w:val="center"/>
            <w:hideMark/>
          </w:tcPr>
          <w:p w14:paraId="32D63116" w14:textId="7F87C1DA"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23.05</w:t>
            </w:r>
          </w:p>
        </w:tc>
        <w:tc>
          <w:tcPr>
            <w:tcW w:w="2041" w:type="dxa"/>
            <w:tcBorders>
              <w:top w:val="nil"/>
              <w:left w:val="nil"/>
              <w:bottom w:val="nil"/>
              <w:right w:val="nil"/>
            </w:tcBorders>
            <w:shd w:val="clear" w:color="auto" w:fill="auto"/>
            <w:noWrap/>
            <w:vAlign w:val="center"/>
            <w:hideMark/>
          </w:tcPr>
          <w:p w14:paraId="5E25D874" w14:textId="480F7B85"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26.66</w:t>
            </w:r>
          </w:p>
        </w:tc>
        <w:tc>
          <w:tcPr>
            <w:tcW w:w="1536" w:type="dxa"/>
            <w:tcBorders>
              <w:top w:val="nil"/>
              <w:left w:val="nil"/>
              <w:bottom w:val="nil"/>
              <w:right w:val="nil"/>
            </w:tcBorders>
            <w:shd w:val="clear" w:color="auto" w:fill="auto"/>
            <w:noWrap/>
            <w:vAlign w:val="center"/>
            <w:hideMark/>
          </w:tcPr>
          <w:p w14:paraId="6CEDD492" w14:textId="57368090"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18.45</w:t>
            </w:r>
          </w:p>
        </w:tc>
      </w:tr>
      <w:tr w:rsidR="0040107F" w:rsidRPr="00E21717" w14:paraId="1322A069" w14:textId="77777777" w:rsidTr="0040107F">
        <w:trPr>
          <w:trHeight w:val="302"/>
        </w:trPr>
        <w:tc>
          <w:tcPr>
            <w:tcW w:w="3031" w:type="dxa"/>
            <w:tcBorders>
              <w:top w:val="nil"/>
              <w:left w:val="nil"/>
              <w:bottom w:val="nil"/>
              <w:right w:val="nil"/>
            </w:tcBorders>
            <w:shd w:val="clear" w:color="auto" w:fill="auto"/>
            <w:noWrap/>
            <w:vAlign w:val="center"/>
            <w:hideMark/>
          </w:tcPr>
          <w:p w14:paraId="6B421A76" w14:textId="77777777" w:rsidR="0040107F" w:rsidRPr="00E21717" w:rsidRDefault="0040107F"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Bank of Nova Scotia</w:t>
            </w:r>
          </w:p>
        </w:tc>
        <w:tc>
          <w:tcPr>
            <w:tcW w:w="1879" w:type="dxa"/>
            <w:tcBorders>
              <w:top w:val="nil"/>
              <w:left w:val="nil"/>
              <w:bottom w:val="nil"/>
              <w:right w:val="nil"/>
            </w:tcBorders>
            <w:shd w:val="clear" w:color="auto" w:fill="auto"/>
            <w:noWrap/>
            <w:vAlign w:val="center"/>
            <w:hideMark/>
          </w:tcPr>
          <w:p w14:paraId="61FDFFA6" w14:textId="1DBE107E"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17.76</w:t>
            </w:r>
          </w:p>
        </w:tc>
        <w:tc>
          <w:tcPr>
            <w:tcW w:w="2041" w:type="dxa"/>
            <w:tcBorders>
              <w:top w:val="nil"/>
              <w:left w:val="nil"/>
              <w:bottom w:val="nil"/>
              <w:right w:val="nil"/>
            </w:tcBorders>
            <w:shd w:val="clear" w:color="auto" w:fill="auto"/>
            <w:noWrap/>
            <w:vAlign w:val="center"/>
            <w:hideMark/>
          </w:tcPr>
          <w:p w14:paraId="68457AF7" w14:textId="18632512"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19.11</w:t>
            </w:r>
          </w:p>
        </w:tc>
        <w:tc>
          <w:tcPr>
            <w:tcW w:w="1536" w:type="dxa"/>
            <w:tcBorders>
              <w:top w:val="nil"/>
              <w:left w:val="nil"/>
              <w:bottom w:val="nil"/>
              <w:right w:val="nil"/>
            </w:tcBorders>
            <w:shd w:val="clear" w:color="auto" w:fill="auto"/>
            <w:noWrap/>
            <w:vAlign w:val="center"/>
            <w:hideMark/>
          </w:tcPr>
          <w:p w14:paraId="4C8B32A4" w14:textId="4C609B3D"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12.28</w:t>
            </w:r>
          </w:p>
        </w:tc>
      </w:tr>
      <w:tr w:rsidR="0040107F" w:rsidRPr="00E21717" w14:paraId="013E13D7" w14:textId="77777777" w:rsidTr="0040107F">
        <w:trPr>
          <w:trHeight w:val="302"/>
        </w:trPr>
        <w:tc>
          <w:tcPr>
            <w:tcW w:w="3031" w:type="dxa"/>
            <w:tcBorders>
              <w:top w:val="nil"/>
              <w:left w:val="nil"/>
              <w:bottom w:val="nil"/>
              <w:right w:val="nil"/>
            </w:tcBorders>
            <w:shd w:val="clear" w:color="auto" w:fill="auto"/>
            <w:noWrap/>
            <w:vAlign w:val="center"/>
            <w:hideMark/>
          </w:tcPr>
          <w:p w14:paraId="3270A606" w14:textId="77777777" w:rsidR="0040107F" w:rsidRPr="00E21717" w:rsidRDefault="0040107F" w:rsidP="0040107F">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Royal Bank of Canada </w:t>
            </w:r>
          </w:p>
        </w:tc>
        <w:tc>
          <w:tcPr>
            <w:tcW w:w="1879" w:type="dxa"/>
            <w:tcBorders>
              <w:top w:val="nil"/>
              <w:left w:val="nil"/>
              <w:bottom w:val="nil"/>
              <w:right w:val="nil"/>
            </w:tcBorders>
            <w:shd w:val="clear" w:color="auto" w:fill="auto"/>
            <w:noWrap/>
            <w:vAlign w:val="center"/>
            <w:hideMark/>
          </w:tcPr>
          <w:p w14:paraId="269E11C4" w14:textId="468F022F"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18.29</w:t>
            </w:r>
          </w:p>
        </w:tc>
        <w:tc>
          <w:tcPr>
            <w:tcW w:w="2041" w:type="dxa"/>
            <w:tcBorders>
              <w:top w:val="nil"/>
              <w:left w:val="nil"/>
              <w:bottom w:val="nil"/>
              <w:right w:val="nil"/>
            </w:tcBorders>
            <w:shd w:val="clear" w:color="auto" w:fill="auto"/>
            <w:noWrap/>
            <w:vAlign w:val="center"/>
            <w:hideMark/>
          </w:tcPr>
          <w:p w14:paraId="191C6106" w14:textId="2EAA26D4"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20.02</w:t>
            </w:r>
          </w:p>
        </w:tc>
        <w:tc>
          <w:tcPr>
            <w:tcW w:w="1536" w:type="dxa"/>
            <w:tcBorders>
              <w:top w:val="nil"/>
              <w:left w:val="nil"/>
              <w:bottom w:val="nil"/>
              <w:right w:val="nil"/>
            </w:tcBorders>
            <w:shd w:val="clear" w:color="auto" w:fill="auto"/>
            <w:noWrap/>
            <w:vAlign w:val="center"/>
            <w:hideMark/>
          </w:tcPr>
          <w:p w14:paraId="70C2EE55" w14:textId="286803BF"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12.38</w:t>
            </w:r>
          </w:p>
        </w:tc>
      </w:tr>
      <w:tr w:rsidR="0040107F" w:rsidRPr="00E21717" w14:paraId="457EA778" w14:textId="77777777" w:rsidTr="0040107F">
        <w:trPr>
          <w:trHeight w:val="302"/>
        </w:trPr>
        <w:tc>
          <w:tcPr>
            <w:tcW w:w="3031" w:type="dxa"/>
            <w:tcBorders>
              <w:top w:val="nil"/>
              <w:left w:val="nil"/>
              <w:bottom w:val="nil"/>
              <w:right w:val="nil"/>
            </w:tcBorders>
            <w:shd w:val="clear" w:color="auto" w:fill="auto"/>
            <w:noWrap/>
            <w:vAlign w:val="center"/>
            <w:hideMark/>
          </w:tcPr>
          <w:p w14:paraId="458BD461" w14:textId="77777777" w:rsidR="0040107F" w:rsidRPr="00E21717" w:rsidRDefault="0040107F"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Royal Bank of Scotland </w:t>
            </w:r>
          </w:p>
        </w:tc>
        <w:tc>
          <w:tcPr>
            <w:tcW w:w="1879" w:type="dxa"/>
            <w:tcBorders>
              <w:top w:val="nil"/>
              <w:left w:val="nil"/>
              <w:bottom w:val="nil"/>
              <w:right w:val="nil"/>
            </w:tcBorders>
            <w:shd w:val="clear" w:color="auto" w:fill="auto"/>
            <w:noWrap/>
            <w:vAlign w:val="center"/>
            <w:hideMark/>
          </w:tcPr>
          <w:p w14:paraId="205F6CB3" w14:textId="74C75D8C" w:rsidR="0040107F" w:rsidRPr="00371459" w:rsidRDefault="00BE3E19" w:rsidP="0040107F">
            <w:pPr>
              <w:jc w:val="center"/>
              <w:rPr>
                <w:rFonts w:ascii="dcr10" w:eastAsia="Times New Roman" w:hAnsi="dcr10" w:cs="Times New Roman"/>
                <w:color w:val="000000"/>
                <w:sz w:val="18"/>
                <w:szCs w:val="18"/>
              </w:rPr>
            </w:pPr>
            <w:r>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07D9DDB5" w14:textId="50A06C8E"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49.37</w:t>
            </w:r>
          </w:p>
        </w:tc>
        <w:tc>
          <w:tcPr>
            <w:tcW w:w="1536" w:type="dxa"/>
            <w:tcBorders>
              <w:top w:val="nil"/>
              <w:left w:val="nil"/>
              <w:bottom w:val="nil"/>
              <w:right w:val="nil"/>
            </w:tcBorders>
            <w:shd w:val="clear" w:color="auto" w:fill="auto"/>
            <w:noWrap/>
            <w:vAlign w:val="center"/>
            <w:hideMark/>
          </w:tcPr>
          <w:p w14:paraId="4C1B1197" w14:textId="600109A2"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35.39</w:t>
            </w:r>
          </w:p>
        </w:tc>
      </w:tr>
      <w:tr w:rsidR="0040107F" w:rsidRPr="00E21717" w14:paraId="0A8D2414" w14:textId="77777777" w:rsidTr="0040107F">
        <w:trPr>
          <w:trHeight w:val="302"/>
        </w:trPr>
        <w:tc>
          <w:tcPr>
            <w:tcW w:w="3031" w:type="dxa"/>
            <w:tcBorders>
              <w:top w:val="nil"/>
              <w:left w:val="nil"/>
              <w:bottom w:val="nil"/>
              <w:right w:val="nil"/>
            </w:tcBorders>
            <w:shd w:val="clear" w:color="auto" w:fill="auto"/>
            <w:noWrap/>
            <w:vAlign w:val="center"/>
            <w:hideMark/>
          </w:tcPr>
          <w:p w14:paraId="26EB89BA" w14:textId="77777777" w:rsidR="0040107F" w:rsidRPr="00E21717" w:rsidRDefault="0040107F" w:rsidP="0040107F">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Banco</w:t>
            </w:r>
            <w:proofErr w:type="spellEnd"/>
            <w:r w:rsidRPr="00E21717">
              <w:rPr>
                <w:rFonts w:ascii="dcr10" w:eastAsia="Times New Roman" w:hAnsi="dcr10" w:cs="Times New Roman"/>
                <w:color w:val="000000"/>
                <w:sz w:val="18"/>
                <w:szCs w:val="18"/>
              </w:rPr>
              <w:t xml:space="preserve"> Santander</w:t>
            </w:r>
          </w:p>
        </w:tc>
        <w:tc>
          <w:tcPr>
            <w:tcW w:w="1879" w:type="dxa"/>
            <w:tcBorders>
              <w:top w:val="nil"/>
              <w:left w:val="nil"/>
              <w:bottom w:val="nil"/>
              <w:right w:val="nil"/>
            </w:tcBorders>
            <w:shd w:val="clear" w:color="auto" w:fill="auto"/>
            <w:noWrap/>
            <w:vAlign w:val="center"/>
            <w:hideMark/>
          </w:tcPr>
          <w:p w14:paraId="350F63F6" w14:textId="67A9500F"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22.47</w:t>
            </w:r>
          </w:p>
        </w:tc>
        <w:tc>
          <w:tcPr>
            <w:tcW w:w="2041" w:type="dxa"/>
            <w:tcBorders>
              <w:top w:val="nil"/>
              <w:left w:val="nil"/>
              <w:bottom w:val="nil"/>
              <w:right w:val="nil"/>
            </w:tcBorders>
            <w:shd w:val="clear" w:color="auto" w:fill="auto"/>
            <w:noWrap/>
            <w:vAlign w:val="center"/>
            <w:hideMark/>
          </w:tcPr>
          <w:p w14:paraId="2A7AA178" w14:textId="59730C42"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36.96</w:t>
            </w:r>
          </w:p>
        </w:tc>
        <w:tc>
          <w:tcPr>
            <w:tcW w:w="1536" w:type="dxa"/>
            <w:tcBorders>
              <w:top w:val="nil"/>
              <w:left w:val="nil"/>
              <w:bottom w:val="nil"/>
              <w:right w:val="nil"/>
            </w:tcBorders>
            <w:shd w:val="clear" w:color="auto" w:fill="auto"/>
            <w:noWrap/>
            <w:vAlign w:val="center"/>
            <w:hideMark/>
          </w:tcPr>
          <w:p w14:paraId="3D914EE9" w14:textId="55DBE8D8"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25.72</w:t>
            </w:r>
          </w:p>
        </w:tc>
      </w:tr>
      <w:tr w:rsidR="0040107F" w:rsidRPr="00E21717" w14:paraId="70D9FDD3" w14:textId="77777777" w:rsidTr="0040107F">
        <w:trPr>
          <w:trHeight w:val="302"/>
        </w:trPr>
        <w:tc>
          <w:tcPr>
            <w:tcW w:w="3031" w:type="dxa"/>
            <w:tcBorders>
              <w:top w:val="nil"/>
              <w:left w:val="nil"/>
              <w:bottom w:val="nil"/>
              <w:right w:val="nil"/>
            </w:tcBorders>
            <w:shd w:val="clear" w:color="auto" w:fill="auto"/>
            <w:noWrap/>
            <w:vAlign w:val="center"/>
            <w:hideMark/>
          </w:tcPr>
          <w:p w14:paraId="63ADC82A" w14:textId="77777777" w:rsidR="0040107F" w:rsidRPr="00E21717" w:rsidRDefault="0040107F" w:rsidP="0040107F">
            <w:pPr>
              <w:rPr>
                <w:rFonts w:ascii="dcr10" w:eastAsia="Times New Roman" w:hAnsi="dcr10" w:cs="Times New Roman"/>
                <w:color w:val="000000"/>
                <w:sz w:val="17"/>
                <w:szCs w:val="17"/>
              </w:rPr>
            </w:pPr>
            <w:proofErr w:type="spellStart"/>
            <w:r w:rsidRPr="00E21717">
              <w:rPr>
                <w:rFonts w:ascii="dcr10" w:eastAsia="Times New Roman" w:hAnsi="dcr10" w:cs="Times New Roman"/>
                <w:bCs/>
                <w:color w:val="000000"/>
                <w:sz w:val="18"/>
                <w:szCs w:val="18"/>
              </w:rPr>
              <w:t>Societe</w:t>
            </w:r>
            <w:proofErr w:type="spellEnd"/>
            <w:r w:rsidRPr="00E21717">
              <w:rPr>
                <w:rFonts w:ascii="dcr10" w:eastAsia="Times New Roman" w:hAnsi="dcr10" w:cs="Times New Roman"/>
                <w:bCs/>
                <w:color w:val="000000"/>
                <w:sz w:val="18"/>
                <w:szCs w:val="18"/>
              </w:rPr>
              <w:t xml:space="preserve"> </w:t>
            </w:r>
            <w:proofErr w:type="spellStart"/>
            <w:r w:rsidRPr="00E21717">
              <w:rPr>
                <w:rFonts w:ascii="dcr10" w:eastAsia="Times New Roman" w:hAnsi="dcr10" w:cs="Times New Roman"/>
                <w:bCs/>
                <w:color w:val="000000"/>
                <w:sz w:val="18"/>
                <w:szCs w:val="18"/>
              </w:rPr>
              <w:t>Generale</w:t>
            </w:r>
            <w:proofErr w:type="spellEnd"/>
            <w:r w:rsidRPr="00E21717">
              <w:rPr>
                <w:rFonts w:ascii="dcr10" w:eastAsia="Times New Roman" w:hAnsi="dcr10" w:cs="Times New Roman"/>
                <w:bCs/>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1CE4D63E" w14:textId="4329D7F5"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23.77</w:t>
            </w:r>
          </w:p>
        </w:tc>
        <w:tc>
          <w:tcPr>
            <w:tcW w:w="2041" w:type="dxa"/>
            <w:tcBorders>
              <w:top w:val="nil"/>
              <w:left w:val="nil"/>
              <w:bottom w:val="nil"/>
              <w:right w:val="nil"/>
            </w:tcBorders>
            <w:shd w:val="clear" w:color="auto" w:fill="auto"/>
            <w:noWrap/>
            <w:vAlign w:val="center"/>
            <w:hideMark/>
          </w:tcPr>
          <w:p w14:paraId="11FBB9FB" w14:textId="7575ED03"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45.92</w:t>
            </w:r>
          </w:p>
        </w:tc>
        <w:tc>
          <w:tcPr>
            <w:tcW w:w="1536" w:type="dxa"/>
            <w:tcBorders>
              <w:top w:val="nil"/>
              <w:left w:val="nil"/>
              <w:bottom w:val="nil"/>
              <w:right w:val="nil"/>
            </w:tcBorders>
            <w:shd w:val="clear" w:color="auto" w:fill="auto"/>
            <w:noWrap/>
            <w:vAlign w:val="center"/>
            <w:hideMark/>
          </w:tcPr>
          <w:p w14:paraId="011A812B" w14:textId="0C17D043"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29.58</w:t>
            </w:r>
          </w:p>
        </w:tc>
      </w:tr>
      <w:tr w:rsidR="0040107F" w:rsidRPr="00E21717" w14:paraId="056E55CE" w14:textId="77777777" w:rsidTr="0040107F">
        <w:trPr>
          <w:trHeight w:val="302"/>
        </w:trPr>
        <w:tc>
          <w:tcPr>
            <w:tcW w:w="3031" w:type="dxa"/>
            <w:tcBorders>
              <w:top w:val="nil"/>
              <w:left w:val="nil"/>
              <w:bottom w:val="nil"/>
              <w:right w:val="nil"/>
            </w:tcBorders>
            <w:shd w:val="clear" w:color="auto" w:fill="auto"/>
            <w:noWrap/>
            <w:vAlign w:val="center"/>
            <w:hideMark/>
          </w:tcPr>
          <w:p w14:paraId="75EB7220" w14:textId="77777777" w:rsidR="0040107F" w:rsidRPr="00E21717" w:rsidRDefault="0040107F" w:rsidP="0040107F">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Standered</w:t>
            </w:r>
            <w:proofErr w:type="spellEnd"/>
            <w:r w:rsidRPr="00E21717">
              <w:rPr>
                <w:rFonts w:ascii="dcr10" w:eastAsia="Times New Roman" w:hAnsi="dcr10" w:cs="Times New Roman"/>
                <w:color w:val="000000"/>
                <w:sz w:val="18"/>
                <w:szCs w:val="18"/>
              </w:rPr>
              <w:t xml:space="preserve"> Chartered </w:t>
            </w:r>
          </w:p>
        </w:tc>
        <w:tc>
          <w:tcPr>
            <w:tcW w:w="1879" w:type="dxa"/>
            <w:tcBorders>
              <w:top w:val="nil"/>
              <w:left w:val="nil"/>
              <w:bottom w:val="nil"/>
              <w:right w:val="nil"/>
            </w:tcBorders>
            <w:shd w:val="clear" w:color="auto" w:fill="auto"/>
            <w:noWrap/>
            <w:vAlign w:val="center"/>
            <w:hideMark/>
          </w:tcPr>
          <w:p w14:paraId="64861F59" w14:textId="606B2BE8"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26.38</w:t>
            </w:r>
          </w:p>
        </w:tc>
        <w:tc>
          <w:tcPr>
            <w:tcW w:w="2041" w:type="dxa"/>
            <w:tcBorders>
              <w:top w:val="nil"/>
              <w:left w:val="nil"/>
              <w:bottom w:val="nil"/>
              <w:right w:val="nil"/>
            </w:tcBorders>
            <w:shd w:val="clear" w:color="auto" w:fill="auto"/>
            <w:noWrap/>
            <w:vAlign w:val="center"/>
            <w:hideMark/>
          </w:tcPr>
          <w:p w14:paraId="086D7E90" w14:textId="0963992B"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27.54</w:t>
            </w:r>
          </w:p>
        </w:tc>
        <w:tc>
          <w:tcPr>
            <w:tcW w:w="1536" w:type="dxa"/>
            <w:tcBorders>
              <w:top w:val="nil"/>
              <w:left w:val="nil"/>
              <w:bottom w:val="nil"/>
              <w:right w:val="nil"/>
            </w:tcBorders>
            <w:shd w:val="clear" w:color="auto" w:fill="auto"/>
            <w:noWrap/>
            <w:vAlign w:val="center"/>
            <w:hideMark/>
          </w:tcPr>
          <w:p w14:paraId="6B9D1CFF" w14:textId="18DE38A6"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23.43</w:t>
            </w:r>
          </w:p>
        </w:tc>
      </w:tr>
      <w:tr w:rsidR="0040107F" w:rsidRPr="00E21717" w14:paraId="0B64B7B3" w14:textId="77777777" w:rsidTr="0040107F">
        <w:trPr>
          <w:trHeight w:val="302"/>
        </w:trPr>
        <w:tc>
          <w:tcPr>
            <w:tcW w:w="3031" w:type="dxa"/>
            <w:tcBorders>
              <w:top w:val="nil"/>
              <w:left w:val="nil"/>
              <w:bottom w:val="nil"/>
              <w:right w:val="nil"/>
            </w:tcBorders>
            <w:shd w:val="clear" w:color="auto" w:fill="auto"/>
            <w:noWrap/>
            <w:vAlign w:val="center"/>
            <w:hideMark/>
          </w:tcPr>
          <w:p w14:paraId="74DE7A5A" w14:textId="77777777" w:rsidR="0040107F" w:rsidRPr="00E21717" w:rsidRDefault="0040107F"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Sumitomo Mitsui Financial </w:t>
            </w:r>
          </w:p>
        </w:tc>
        <w:tc>
          <w:tcPr>
            <w:tcW w:w="1879" w:type="dxa"/>
            <w:tcBorders>
              <w:top w:val="nil"/>
              <w:left w:val="nil"/>
              <w:bottom w:val="nil"/>
              <w:right w:val="nil"/>
            </w:tcBorders>
            <w:shd w:val="clear" w:color="auto" w:fill="auto"/>
            <w:noWrap/>
            <w:vAlign w:val="center"/>
            <w:hideMark/>
          </w:tcPr>
          <w:p w14:paraId="1608C995" w14:textId="76732BE3"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31.38</w:t>
            </w:r>
          </w:p>
        </w:tc>
        <w:tc>
          <w:tcPr>
            <w:tcW w:w="2041" w:type="dxa"/>
            <w:tcBorders>
              <w:top w:val="nil"/>
              <w:left w:val="nil"/>
              <w:bottom w:val="nil"/>
              <w:right w:val="nil"/>
            </w:tcBorders>
            <w:shd w:val="clear" w:color="auto" w:fill="auto"/>
            <w:noWrap/>
            <w:vAlign w:val="center"/>
            <w:hideMark/>
          </w:tcPr>
          <w:p w14:paraId="6A2A0868" w14:textId="57043EBE"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28.02</w:t>
            </w:r>
          </w:p>
        </w:tc>
        <w:tc>
          <w:tcPr>
            <w:tcW w:w="1536" w:type="dxa"/>
            <w:tcBorders>
              <w:top w:val="nil"/>
              <w:left w:val="nil"/>
              <w:bottom w:val="nil"/>
              <w:right w:val="nil"/>
            </w:tcBorders>
            <w:shd w:val="clear" w:color="auto" w:fill="auto"/>
            <w:noWrap/>
            <w:vAlign w:val="center"/>
            <w:hideMark/>
          </w:tcPr>
          <w:p w14:paraId="69916F38" w14:textId="6A2D210D"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25.19</w:t>
            </w:r>
          </w:p>
        </w:tc>
      </w:tr>
      <w:tr w:rsidR="0040107F" w:rsidRPr="00E21717" w14:paraId="3E59376D" w14:textId="77777777" w:rsidTr="0040107F">
        <w:trPr>
          <w:trHeight w:val="302"/>
        </w:trPr>
        <w:tc>
          <w:tcPr>
            <w:tcW w:w="3031" w:type="dxa"/>
            <w:tcBorders>
              <w:top w:val="nil"/>
              <w:left w:val="nil"/>
              <w:bottom w:val="nil"/>
              <w:right w:val="nil"/>
            </w:tcBorders>
            <w:shd w:val="clear" w:color="auto" w:fill="auto"/>
            <w:noWrap/>
            <w:vAlign w:val="center"/>
            <w:hideMark/>
          </w:tcPr>
          <w:p w14:paraId="31E80746" w14:textId="77777777" w:rsidR="0040107F" w:rsidRPr="00E21717" w:rsidRDefault="0040107F" w:rsidP="0040107F">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Toronto-</w:t>
            </w:r>
            <w:proofErr w:type="spellStart"/>
            <w:r w:rsidRPr="00E21717">
              <w:rPr>
                <w:rFonts w:ascii="dcr10" w:eastAsia="Times New Roman" w:hAnsi="dcr10" w:cs="Times New Roman"/>
                <w:color w:val="000000"/>
                <w:sz w:val="18"/>
                <w:szCs w:val="18"/>
              </w:rPr>
              <w:t>Dominon</w:t>
            </w:r>
            <w:proofErr w:type="spellEnd"/>
            <w:r w:rsidRPr="00E21717">
              <w:rPr>
                <w:rFonts w:ascii="dcr10" w:eastAsia="Times New Roman" w:hAnsi="dcr10" w:cs="Times New Roman"/>
                <w:color w:val="000000"/>
                <w:sz w:val="18"/>
                <w:szCs w:val="18"/>
              </w:rPr>
              <w:t xml:space="preserve"> Group </w:t>
            </w:r>
          </w:p>
        </w:tc>
        <w:tc>
          <w:tcPr>
            <w:tcW w:w="1879" w:type="dxa"/>
            <w:tcBorders>
              <w:top w:val="nil"/>
              <w:left w:val="nil"/>
              <w:bottom w:val="nil"/>
              <w:right w:val="nil"/>
            </w:tcBorders>
            <w:shd w:val="clear" w:color="auto" w:fill="auto"/>
            <w:noWrap/>
            <w:vAlign w:val="center"/>
            <w:hideMark/>
          </w:tcPr>
          <w:p w14:paraId="2D6BD994" w14:textId="0E3034A3"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16.65</w:t>
            </w:r>
          </w:p>
        </w:tc>
        <w:tc>
          <w:tcPr>
            <w:tcW w:w="2041" w:type="dxa"/>
            <w:tcBorders>
              <w:top w:val="nil"/>
              <w:left w:val="nil"/>
              <w:bottom w:val="nil"/>
              <w:right w:val="nil"/>
            </w:tcBorders>
            <w:shd w:val="clear" w:color="auto" w:fill="auto"/>
            <w:noWrap/>
            <w:vAlign w:val="center"/>
            <w:hideMark/>
          </w:tcPr>
          <w:p w14:paraId="1D86D1BE" w14:textId="55401C60"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17.41</w:t>
            </w:r>
          </w:p>
        </w:tc>
        <w:tc>
          <w:tcPr>
            <w:tcW w:w="1536" w:type="dxa"/>
            <w:tcBorders>
              <w:top w:val="nil"/>
              <w:left w:val="nil"/>
              <w:bottom w:val="nil"/>
              <w:right w:val="nil"/>
            </w:tcBorders>
            <w:shd w:val="clear" w:color="auto" w:fill="auto"/>
            <w:noWrap/>
            <w:vAlign w:val="center"/>
            <w:hideMark/>
          </w:tcPr>
          <w:p w14:paraId="58292ABB" w14:textId="703D237B"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12.33</w:t>
            </w:r>
          </w:p>
        </w:tc>
      </w:tr>
      <w:tr w:rsidR="0040107F" w:rsidRPr="00E21717" w14:paraId="5D3FFD0D" w14:textId="77777777" w:rsidTr="0040107F">
        <w:trPr>
          <w:trHeight w:val="302"/>
        </w:trPr>
        <w:tc>
          <w:tcPr>
            <w:tcW w:w="3031" w:type="dxa"/>
            <w:tcBorders>
              <w:top w:val="nil"/>
              <w:left w:val="nil"/>
              <w:bottom w:val="nil"/>
              <w:right w:val="nil"/>
            </w:tcBorders>
            <w:shd w:val="clear" w:color="auto" w:fill="auto"/>
            <w:noWrap/>
            <w:vAlign w:val="center"/>
            <w:hideMark/>
          </w:tcPr>
          <w:p w14:paraId="7FB03539" w14:textId="77777777" w:rsidR="0040107F" w:rsidRPr="00E21717" w:rsidRDefault="0040107F"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UBS Group AG </w:t>
            </w:r>
          </w:p>
        </w:tc>
        <w:tc>
          <w:tcPr>
            <w:tcW w:w="1879" w:type="dxa"/>
            <w:tcBorders>
              <w:top w:val="nil"/>
              <w:left w:val="nil"/>
              <w:bottom w:val="nil"/>
              <w:right w:val="nil"/>
            </w:tcBorders>
            <w:shd w:val="clear" w:color="auto" w:fill="auto"/>
            <w:noWrap/>
            <w:vAlign w:val="center"/>
            <w:hideMark/>
          </w:tcPr>
          <w:p w14:paraId="25F6C9BD" w14:textId="02F3D135"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21.16</w:t>
            </w:r>
          </w:p>
        </w:tc>
        <w:tc>
          <w:tcPr>
            <w:tcW w:w="2041" w:type="dxa"/>
            <w:tcBorders>
              <w:top w:val="nil"/>
              <w:left w:val="nil"/>
              <w:bottom w:val="nil"/>
              <w:right w:val="nil"/>
            </w:tcBorders>
            <w:shd w:val="clear" w:color="auto" w:fill="auto"/>
            <w:noWrap/>
            <w:vAlign w:val="center"/>
            <w:hideMark/>
          </w:tcPr>
          <w:p w14:paraId="07A61F38" w14:textId="25BDB440"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30.32</w:t>
            </w:r>
          </w:p>
        </w:tc>
        <w:tc>
          <w:tcPr>
            <w:tcW w:w="1536" w:type="dxa"/>
            <w:tcBorders>
              <w:top w:val="nil"/>
              <w:left w:val="nil"/>
              <w:bottom w:val="nil"/>
              <w:right w:val="nil"/>
            </w:tcBorders>
            <w:shd w:val="clear" w:color="auto" w:fill="auto"/>
            <w:noWrap/>
            <w:vAlign w:val="center"/>
            <w:hideMark/>
          </w:tcPr>
          <w:p w14:paraId="0B086CBB" w14:textId="7E60D73F"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21.51</w:t>
            </w:r>
          </w:p>
        </w:tc>
      </w:tr>
      <w:tr w:rsidR="0040107F" w:rsidRPr="00E21717" w14:paraId="672E558F" w14:textId="77777777" w:rsidTr="0040107F">
        <w:trPr>
          <w:trHeight w:val="302"/>
        </w:trPr>
        <w:tc>
          <w:tcPr>
            <w:tcW w:w="3031" w:type="dxa"/>
            <w:tcBorders>
              <w:top w:val="nil"/>
              <w:left w:val="nil"/>
              <w:bottom w:val="nil"/>
              <w:right w:val="nil"/>
            </w:tcBorders>
            <w:shd w:val="clear" w:color="auto" w:fill="auto"/>
            <w:noWrap/>
            <w:vAlign w:val="center"/>
            <w:hideMark/>
          </w:tcPr>
          <w:p w14:paraId="7ADBC19F" w14:textId="77777777" w:rsidR="0040107F" w:rsidRPr="00E21717" w:rsidRDefault="0040107F" w:rsidP="0040107F">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UniCredit</w:t>
            </w:r>
            <w:proofErr w:type="spellEnd"/>
            <w:r w:rsidRPr="00E21717">
              <w:rPr>
                <w:rFonts w:ascii="dcr10" w:eastAsia="Times New Roman" w:hAnsi="dcr10" w:cs="Times New Roman"/>
                <w:color w:val="000000"/>
                <w:sz w:val="18"/>
                <w:szCs w:val="18"/>
              </w:rPr>
              <w:t xml:space="preserve"> </w:t>
            </w:r>
            <w:proofErr w:type="spellStart"/>
            <w:r w:rsidRPr="00E21717">
              <w:rPr>
                <w:rFonts w:ascii="dcr10" w:eastAsia="Times New Roman" w:hAnsi="dcr10" w:cs="Times New Roman"/>
                <w:color w:val="000000"/>
                <w:sz w:val="18"/>
                <w:szCs w:val="18"/>
              </w:rPr>
              <w:t>S.p.A</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5B9FF229" w14:textId="424F7508"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20.44</w:t>
            </w:r>
          </w:p>
        </w:tc>
        <w:tc>
          <w:tcPr>
            <w:tcW w:w="2041" w:type="dxa"/>
            <w:tcBorders>
              <w:top w:val="nil"/>
              <w:left w:val="nil"/>
              <w:bottom w:val="nil"/>
              <w:right w:val="nil"/>
            </w:tcBorders>
            <w:shd w:val="clear" w:color="auto" w:fill="auto"/>
            <w:noWrap/>
            <w:vAlign w:val="center"/>
            <w:hideMark/>
          </w:tcPr>
          <w:p w14:paraId="221A0369" w14:textId="41161913"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44.11</w:t>
            </w:r>
          </w:p>
        </w:tc>
        <w:tc>
          <w:tcPr>
            <w:tcW w:w="1536" w:type="dxa"/>
            <w:tcBorders>
              <w:top w:val="nil"/>
              <w:left w:val="nil"/>
              <w:bottom w:val="nil"/>
              <w:right w:val="nil"/>
            </w:tcBorders>
            <w:shd w:val="clear" w:color="auto" w:fill="auto"/>
            <w:noWrap/>
            <w:vAlign w:val="center"/>
            <w:hideMark/>
          </w:tcPr>
          <w:p w14:paraId="5B0197ED" w14:textId="65D5C1BA"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34.10</w:t>
            </w:r>
          </w:p>
        </w:tc>
      </w:tr>
      <w:tr w:rsidR="0040107F" w:rsidRPr="00E21717" w14:paraId="6EF52B57" w14:textId="77777777" w:rsidTr="0040107F">
        <w:trPr>
          <w:trHeight w:val="302"/>
        </w:trPr>
        <w:tc>
          <w:tcPr>
            <w:tcW w:w="3031" w:type="dxa"/>
            <w:tcBorders>
              <w:top w:val="nil"/>
              <w:left w:val="nil"/>
              <w:bottom w:val="nil"/>
              <w:right w:val="nil"/>
            </w:tcBorders>
            <w:shd w:val="clear" w:color="auto" w:fill="auto"/>
            <w:noWrap/>
            <w:vAlign w:val="center"/>
            <w:hideMark/>
          </w:tcPr>
          <w:p w14:paraId="77952F74" w14:textId="77777777" w:rsidR="0040107F" w:rsidRPr="00E21717" w:rsidRDefault="0040107F" w:rsidP="0040107F">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Westpac Banking </w:t>
            </w:r>
          </w:p>
        </w:tc>
        <w:tc>
          <w:tcPr>
            <w:tcW w:w="1879" w:type="dxa"/>
            <w:tcBorders>
              <w:top w:val="nil"/>
              <w:left w:val="nil"/>
              <w:bottom w:val="nil"/>
              <w:right w:val="nil"/>
            </w:tcBorders>
            <w:shd w:val="clear" w:color="auto" w:fill="auto"/>
            <w:noWrap/>
            <w:vAlign w:val="center"/>
            <w:hideMark/>
          </w:tcPr>
          <w:p w14:paraId="314A738C" w14:textId="0B22DACD"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15.63</w:t>
            </w:r>
          </w:p>
        </w:tc>
        <w:tc>
          <w:tcPr>
            <w:tcW w:w="2041" w:type="dxa"/>
            <w:tcBorders>
              <w:top w:val="nil"/>
              <w:left w:val="nil"/>
              <w:bottom w:val="nil"/>
              <w:right w:val="nil"/>
            </w:tcBorders>
            <w:shd w:val="clear" w:color="auto" w:fill="auto"/>
            <w:noWrap/>
            <w:vAlign w:val="center"/>
            <w:hideMark/>
          </w:tcPr>
          <w:p w14:paraId="103F85D3" w14:textId="5406AD7E"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18.82</w:t>
            </w:r>
          </w:p>
        </w:tc>
        <w:tc>
          <w:tcPr>
            <w:tcW w:w="1536" w:type="dxa"/>
            <w:tcBorders>
              <w:top w:val="nil"/>
              <w:left w:val="nil"/>
              <w:bottom w:val="nil"/>
              <w:right w:val="nil"/>
            </w:tcBorders>
            <w:shd w:val="clear" w:color="auto" w:fill="auto"/>
            <w:noWrap/>
            <w:vAlign w:val="center"/>
            <w:hideMark/>
          </w:tcPr>
          <w:p w14:paraId="6FFD9976" w14:textId="4841E538" w:rsidR="0040107F" w:rsidRPr="00371459" w:rsidRDefault="0040107F" w:rsidP="0040107F">
            <w:pPr>
              <w:jc w:val="center"/>
              <w:rPr>
                <w:rFonts w:ascii="dcr10" w:eastAsia="Times New Roman" w:hAnsi="dcr10" w:cs="Times New Roman"/>
                <w:color w:val="000000"/>
                <w:sz w:val="18"/>
                <w:szCs w:val="18"/>
              </w:rPr>
            </w:pPr>
            <w:r w:rsidRPr="0040107F">
              <w:rPr>
                <w:rFonts w:ascii="dcr10" w:eastAsia="Times New Roman" w:hAnsi="dcr10" w:cs="Times New Roman"/>
                <w:color w:val="000000"/>
                <w:sz w:val="18"/>
                <w:szCs w:val="18"/>
              </w:rPr>
              <w:t>14.00</w:t>
            </w:r>
          </w:p>
        </w:tc>
      </w:tr>
      <w:tr w:rsidR="0040107F" w:rsidRPr="00E21717" w14:paraId="40C01A1E" w14:textId="77777777" w:rsidTr="0040107F">
        <w:trPr>
          <w:trHeight w:val="302"/>
        </w:trPr>
        <w:tc>
          <w:tcPr>
            <w:tcW w:w="3031" w:type="dxa"/>
            <w:tcBorders>
              <w:top w:val="nil"/>
              <w:left w:val="nil"/>
              <w:bottom w:val="nil"/>
              <w:right w:val="nil"/>
            </w:tcBorders>
            <w:shd w:val="clear" w:color="auto" w:fill="auto"/>
            <w:noWrap/>
            <w:vAlign w:val="center"/>
            <w:hideMark/>
          </w:tcPr>
          <w:p w14:paraId="4E8CA2F6" w14:textId="77777777" w:rsidR="0040107F" w:rsidRPr="00371459" w:rsidRDefault="0040107F" w:rsidP="0040107F">
            <w:pPr>
              <w:rPr>
                <w:rFonts w:ascii="dcr10" w:eastAsia="Times New Roman" w:hAnsi="dcr10" w:cs="Times New Roman"/>
                <w:i/>
                <w:color w:val="000000"/>
                <w:sz w:val="17"/>
                <w:szCs w:val="17"/>
              </w:rPr>
            </w:pPr>
            <w:r w:rsidRPr="00371459">
              <w:rPr>
                <w:rFonts w:ascii="dcr10" w:eastAsia="Times New Roman" w:hAnsi="dcr10" w:cs="Times New Roman"/>
                <w:i/>
                <w:color w:val="000000"/>
                <w:sz w:val="18"/>
                <w:szCs w:val="18"/>
              </w:rPr>
              <w:t>Mean</w:t>
            </w:r>
          </w:p>
        </w:tc>
        <w:tc>
          <w:tcPr>
            <w:tcW w:w="1879" w:type="dxa"/>
            <w:tcBorders>
              <w:top w:val="nil"/>
              <w:left w:val="nil"/>
              <w:bottom w:val="nil"/>
              <w:right w:val="nil"/>
            </w:tcBorders>
            <w:shd w:val="clear" w:color="auto" w:fill="auto"/>
            <w:noWrap/>
            <w:vAlign w:val="center"/>
            <w:hideMark/>
          </w:tcPr>
          <w:p w14:paraId="0454A90A" w14:textId="0CF43043" w:rsidR="0040107F" w:rsidRPr="0040107F" w:rsidRDefault="0040107F" w:rsidP="0040107F">
            <w:pPr>
              <w:jc w:val="center"/>
              <w:rPr>
                <w:rFonts w:ascii="dcr10" w:eastAsia="Times New Roman" w:hAnsi="dcr10" w:cs="Times New Roman"/>
                <w:i/>
                <w:color w:val="000000"/>
                <w:sz w:val="18"/>
                <w:szCs w:val="18"/>
              </w:rPr>
            </w:pPr>
            <w:r w:rsidRPr="0040107F">
              <w:rPr>
                <w:rFonts w:ascii="dcr10" w:eastAsia="Times New Roman" w:hAnsi="dcr10" w:cs="Times New Roman"/>
                <w:i/>
                <w:color w:val="000000"/>
                <w:sz w:val="18"/>
                <w:szCs w:val="18"/>
              </w:rPr>
              <w:t>23.49</w:t>
            </w:r>
          </w:p>
        </w:tc>
        <w:tc>
          <w:tcPr>
            <w:tcW w:w="2041" w:type="dxa"/>
            <w:tcBorders>
              <w:top w:val="nil"/>
              <w:left w:val="nil"/>
              <w:bottom w:val="nil"/>
              <w:right w:val="nil"/>
            </w:tcBorders>
            <w:shd w:val="clear" w:color="auto" w:fill="auto"/>
            <w:noWrap/>
            <w:vAlign w:val="center"/>
            <w:hideMark/>
          </w:tcPr>
          <w:p w14:paraId="3EE586CD" w14:textId="23F9ED01" w:rsidR="0040107F" w:rsidRPr="0040107F" w:rsidRDefault="0040107F" w:rsidP="0040107F">
            <w:pPr>
              <w:jc w:val="center"/>
              <w:rPr>
                <w:rFonts w:ascii="dcr10" w:eastAsia="Times New Roman" w:hAnsi="dcr10" w:cs="Times New Roman"/>
                <w:i/>
                <w:color w:val="000000"/>
                <w:sz w:val="18"/>
                <w:szCs w:val="18"/>
              </w:rPr>
            </w:pPr>
            <w:r w:rsidRPr="0040107F">
              <w:rPr>
                <w:rFonts w:ascii="dcr10" w:eastAsia="Times New Roman" w:hAnsi="dcr10" w:cs="Times New Roman"/>
                <w:i/>
                <w:color w:val="000000"/>
                <w:sz w:val="18"/>
                <w:szCs w:val="18"/>
              </w:rPr>
              <w:t>32.48</w:t>
            </w:r>
          </w:p>
        </w:tc>
        <w:tc>
          <w:tcPr>
            <w:tcW w:w="1536" w:type="dxa"/>
            <w:tcBorders>
              <w:top w:val="nil"/>
              <w:left w:val="nil"/>
              <w:bottom w:val="nil"/>
              <w:right w:val="nil"/>
            </w:tcBorders>
            <w:shd w:val="clear" w:color="auto" w:fill="auto"/>
            <w:noWrap/>
            <w:vAlign w:val="center"/>
            <w:hideMark/>
          </w:tcPr>
          <w:p w14:paraId="067139B9" w14:textId="58BB6DFE" w:rsidR="0040107F" w:rsidRPr="0040107F" w:rsidRDefault="0040107F" w:rsidP="0040107F">
            <w:pPr>
              <w:jc w:val="center"/>
              <w:rPr>
                <w:rFonts w:ascii="dcr10" w:eastAsia="Times New Roman" w:hAnsi="dcr10" w:cs="Times New Roman"/>
                <w:i/>
                <w:color w:val="000000"/>
                <w:sz w:val="18"/>
                <w:szCs w:val="18"/>
              </w:rPr>
            </w:pPr>
            <w:r w:rsidRPr="0040107F">
              <w:rPr>
                <w:rFonts w:ascii="dcr10" w:eastAsia="Times New Roman" w:hAnsi="dcr10" w:cs="Times New Roman"/>
                <w:i/>
                <w:color w:val="000000"/>
                <w:sz w:val="18"/>
                <w:szCs w:val="18"/>
              </w:rPr>
              <w:t>23.57</w:t>
            </w:r>
          </w:p>
        </w:tc>
      </w:tr>
      <w:tr w:rsidR="0040107F" w:rsidRPr="00E21717" w14:paraId="2B914278" w14:textId="77777777" w:rsidTr="0040107F">
        <w:trPr>
          <w:trHeight w:val="302"/>
        </w:trPr>
        <w:tc>
          <w:tcPr>
            <w:tcW w:w="3031" w:type="dxa"/>
            <w:tcBorders>
              <w:top w:val="nil"/>
              <w:left w:val="nil"/>
              <w:bottom w:val="nil"/>
              <w:right w:val="nil"/>
            </w:tcBorders>
            <w:shd w:val="clear" w:color="auto" w:fill="auto"/>
            <w:noWrap/>
            <w:vAlign w:val="center"/>
            <w:hideMark/>
          </w:tcPr>
          <w:p w14:paraId="24B6B54F" w14:textId="77777777" w:rsidR="0040107F" w:rsidRPr="00371459" w:rsidRDefault="0040107F" w:rsidP="0040107F">
            <w:pPr>
              <w:rPr>
                <w:rFonts w:ascii="dcr10" w:eastAsia="Times New Roman" w:hAnsi="dcr10" w:cs="Times New Roman"/>
                <w:i/>
                <w:color w:val="000000"/>
                <w:sz w:val="17"/>
                <w:szCs w:val="17"/>
              </w:rPr>
            </w:pPr>
            <w:r w:rsidRPr="00371459">
              <w:rPr>
                <w:rFonts w:ascii="dcr10" w:eastAsia="Times New Roman" w:hAnsi="dcr10" w:cs="Times New Roman"/>
                <w:bCs/>
                <w:i/>
                <w:color w:val="000000"/>
                <w:sz w:val="18"/>
                <w:szCs w:val="18"/>
              </w:rPr>
              <w:t>Median</w:t>
            </w:r>
          </w:p>
        </w:tc>
        <w:tc>
          <w:tcPr>
            <w:tcW w:w="1879" w:type="dxa"/>
            <w:tcBorders>
              <w:top w:val="nil"/>
              <w:left w:val="nil"/>
              <w:bottom w:val="nil"/>
              <w:right w:val="nil"/>
            </w:tcBorders>
            <w:shd w:val="clear" w:color="auto" w:fill="auto"/>
            <w:noWrap/>
            <w:vAlign w:val="center"/>
            <w:hideMark/>
          </w:tcPr>
          <w:p w14:paraId="10566B53" w14:textId="148149CB" w:rsidR="0040107F" w:rsidRPr="0040107F" w:rsidRDefault="0040107F" w:rsidP="0040107F">
            <w:pPr>
              <w:jc w:val="center"/>
              <w:rPr>
                <w:rFonts w:ascii="dcr10" w:eastAsia="Times New Roman" w:hAnsi="dcr10" w:cs="Times New Roman"/>
                <w:i/>
                <w:color w:val="000000"/>
                <w:sz w:val="18"/>
                <w:szCs w:val="18"/>
              </w:rPr>
            </w:pPr>
            <w:r w:rsidRPr="0040107F">
              <w:rPr>
                <w:rFonts w:ascii="dcr10" w:eastAsia="Times New Roman" w:hAnsi="dcr10" w:cs="Times New Roman"/>
                <w:i/>
                <w:color w:val="000000"/>
                <w:sz w:val="18"/>
                <w:szCs w:val="18"/>
              </w:rPr>
              <w:t>22.52</w:t>
            </w:r>
          </w:p>
        </w:tc>
        <w:tc>
          <w:tcPr>
            <w:tcW w:w="2041" w:type="dxa"/>
            <w:tcBorders>
              <w:top w:val="nil"/>
              <w:left w:val="nil"/>
              <w:bottom w:val="nil"/>
              <w:right w:val="nil"/>
            </w:tcBorders>
            <w:shd w:val="clear" w:color="auto" w:fill="auto"/>
            <w:noWrap/>
            <w:vAlign w:val="center"/>
            <w:hideMark/>
          </w:tcPr>
          <w:p w14:paraId="5E5FF78A" w14:textId="7044511E" w:rsidR="0040107F" w:rsidRPr="0040107F" w:rsidRDefault="0040107F" w:rsidP="0040107F">
            <w:pPr>
              <w:jc w:val="center"/>
              <w:rPr>
                <w:rFonts w:ascii="dcr10" w:eastAsia="Times New Roman" w:hAnsi="dcr10" w:cs="Times New Roman"/>
                <w:i/>
                <w:color w:val="000000"/>
                <w:sz w:val="18"/>
                <w:szCs w:val="18"/>
              </w:rPr>
            </w:pPr>
            <w:r w:rsidRPr="0040107F">
              <w:rPr>
                <w:rFonts w:ascii="dcr10" w:eastAsia="Times New Roman" w:hAnsi="dcr10" w:cs="Times New Roman"/>
                <w:i/>
                <w:color w:val="000000"/>
                <w:sz w:val="18"/>
                <w:szCs w:val="18"/>
              </w:rPr>
              <w:t>32.51</w:t>
            </w:r>
          </w:p>
        </w:tc>
        <w:tc>
          <w:tcPr>
            <w:tcW w:w="1536" w:type="dxa"/>
            <w:tcBorders>
              <w:top w:val="nil"/>
              <w:left w:val="nil"/>
              <w:bottom w:val="nil"/>
              <w:right w:val="nil"/>
            </w:tcBorders>
            <w:shd w:val="clear" w:color="auto" w:fill="auto"/>
            <w:noWrap/>
            <w:vAlign w:val="center"/>
            <w:hideMark/>
          </w:tcPr>
          <w:p w14:paraId="22A83F4D" w14:textId="68A5E470" w:rsidR="0040107F" w:rsidRPr="0040107F" w:rsidRDefault="0040107F" w:rsidP="0040107F">
            <w:pPr>
              <w:jc w:val="center"/>
              <w:rPr>
                <w:rFonts w:ascii="dcr10" w:eastAsia="Times New Roman" w:hAnsi="dcr10" w:cs="Times New Roman"/>
                <w:i/>
                <w:color w:val="000000"/>
                <w:sz w:val="18"/>
                <w:szCs w:val="18"/>
              </w:rPr>
            </w:pPr>
            <w:r w:rsidRPr="0040107F">
              <w:rPr>
                <w:rFonts w:ascii="dcr10" w:eastAsia="Times New Roman" w:hAnsi="dcr10" w:cs="Times New Roman"/>
                <w:i/>
                <w:color w:val="000000"/>
                <w:sz w:val="18"/>
                <w:szCs w:val="18"/>
              </w:rPr>
              <w:t>24.55</w:t>
            </w:r>
          </w:p>
        </w:tc>
      </w:tr>
      <w:tr w:rsidR="00BC1E5F" w:rsidRPr="00E21717" w14:paraId="5B5684E2" w14:textId="77777777" w:rsidTr="0040107F">
        <w:trPr>
          <w:trHeight w:val="302"/>
        </w:trPr>
        <w:tc>
          <w:tcPr>
            <w:tcW w:w="3031" w:type="dxa"/>
            <w:tcBorders>
              <w:top w:val="nil"/>
              <w:left w:val="nil"/>
              <w:bottom w:val="nil"/>
              <w:right w:val="nil"/>
            </w:tcBorders>
            <w:shd w:val="clear" w:color="auto" w:fill="auto"/>
            <w:noWrap/>
            <w:vAlign w:val="bottom"/>
            <w:hideMark/>
          </w:tcPr>
          <w:p w14:paraId="7EAFB2BB" w14:textId="77777777" w:rsidR="00BC1E5F" w:rsidRPr="00E21717" w:rsidRDefault="00BC1E5F" w:rsidP="0040107F">
            <w:pPr>
              <w:rPr>
                <w:rFonts w:ascii="dcr10" w:eastAsia="Times New Roman" w:hAnsi="dcr10" w:cs="Times New Roman"/>
                <w:i/>
                <w:iCs/>
                <w:color w:val="000000"/>
                <w:sz w:val="17"/>
                <w:szCs w:val="17"/>
              </w:rPr>
            </w:pPr>
            <w:r w:rsidRPr="00E21717">
              <w:rPr>
                <w:rFonts w:ascii="dcr10" w:eastAsia="Times New Roman" w:hAnsi="dcr10" w:cs="Times New Roman"/>
                <w:i/>
                <w:iCs/>
                <w:color w:val="0000FF"/>
                <w:sz w:val="18"/>
                <w:szCs w:val="18"/>
              </w:rPr>
              <w:t xml:space="preserve">Big 6 </w:t>
            </w:r>
            <w:r>
              <w:rPr>
                <w:rFonts w:ascii="dcr10" w:eastAsia="Times New Roman" w:hAnsi="dcr10" w:cs="Times New Roman"/>
                <w:i/>
                <w:iCs/>
                <w:color w:val="0000FF"/>
                <w:sz w:val="18"/>
                <w:szCs w:val="18"/>
              </w:rPr>
              <w:t>Mean</w:t>
            </w:r>
            <w:r w:rsidRPr="00E21717">
              <w:rPr>
                <w:rFonts w:ascii="dcr10" w:eastAsia="Times New Roman" w:hAnsi="dcr10" w:cs="Times New Roman"/>
                <w:i/>
                <w:iCs/>
                <w:color w:val="0000FF"/>
                <w:sz w:val="18"/>
                <w:szCs w:val="18"/>
              </w:rPr>
              <w:t xml:space="preserve"> </w:t>
            </w:r>
          </w:p>
        </w:tc>
        <w:tc>
          <w:tcPr>
            <w:tcW w:w="1879" w:type="dxa"/>
            <w:tcBorders>
              <w:top w:val="nil"/>
              <w:left w:val="nil"/>
              <w:bottom w:val="nil"/>
              <w:right w:val="nil"/>
            </w:tcBorders>
            <w:shd w:val="clear" w:color="auto" w:fill="auto"/>
            <w:noWrap/>
            <w:vAlign w:val="bottom"/>
            <w:hideMark/>
          </w:tcPr>
          <w:p w14:paraId="3568B887" w14:textId="012BFEB6" w:rsidR="00BC1E5F" w:rsidRPr="00E21717" w:rsidRDefault="00116E02" w:rsidP="0040107F">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22.89</w:t>
            </w:r>
          </w:p>
        </w:tc>
        <w:tc>
          <w:tcPr>
            <w:tcW w:w="2041" w:type="dxa"/>
            <w:tcBorders>
              <w:top w:val="nil"/>
              <w:left w:val="nil"/>
              <w:bottom w:val="nil"/>
              <w:right w:val="nil"/>
            </w:tcBorders>
            <w:shd w:val="clear" w:color="auto" w:fill="auto"/>
            <w:noWrap/>
            <w:vAlign w:val="bottom"/>
            <w:hideMark/>
          </w:tcPr>
          <w:p w14:paraId="0D7BF1FB" w14:textId="4FDA99F4" w:rsidR="00BC1E5F" w:rsidRPr="00E21717" w:rsidRDefault="00116E02" w:rsidP="0040107F">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32.34</w:t>
            </w:r>
          </w:p>
        </w:tc>
        <w:tc>
          <w:tcPr>
            <w:tcW w:w="1536" w:type="dxa"/>
            <w:tcBorders>
              <w:top w:val="nil"/>
              <w:left w:val="nil"/>
              <w:bottom w:val="nil"/>
              <w:right w:val="nil"/>
            </w:tcBorders>
            <w:shd w:val="clear" w:color="auto" w:fill="auto"/>
            <w:noWrap/>
            <w:vAlign w:val="bottom"/>
            <w:hideMark/>
          </w:tcPr>
          <w:p w14:paraId="66FEE2FA" w14:textId="0C8A28BA" w:rsidR="00BC1E5F" w:rsidRPr="00E21717" w:rsidRDefault="00116E02" w:rsidP="0040107F">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20.75</w:t>
            </w:r>
          </w:p>
        </w:tc>
      </w:tr>
      <w:tr w:rsidR="00BC1E5F" w:rsidRPr="00E21717" w14:paraId="46640888" w14:textId="77777777" w:rsidTr="0040107F">
        <w:trPr>
          <w:trHeight w:val="302"/>
        </w:trPr>
        <w:tc>
          <w:tcPr>
            <w:tcW w:w="3031" w:type="dxa"/>
            <w:tcBorders>
              <w:top w:val="nil"/>
              <w:left w:val="nil"/>
              <w:bottom w:val="nil"/>
              <w:right w:val="nil"/>
            </w:tcBorders>
            <w:shd w:val="clear" w:color="auto" w:fill="auto"/>
            <w:noWrap/>
            <w:vAlign w:val="bottom"/>
            <w:hideMark/>
          </w:tcPr>
          <w:p w14:paraId="2134B9CE" w14:textId="77777777" w:rsidR="00BC1E5F" w:rsidRPr="00E21717" w:rsidRDefault="00BC1E5F" w:rsidP="0040107F">
            <w:pPr>
              <w:rPr>
                <w:rFonts w:ascii="dcr10" w:eastAsia="Times New Roman" w:hAnsi="dcr10" w:cs="Times New Roman"/>
                <w:i/>
                <w:iCs/>
                <w:color w:val="000000"/>
                <w:sz w:val="17"/>
                <w:szCs w:val="17"/>
              </w:rPr>
            </w:pPr>
            <w:r w:rsidRPr="00E21717">
              <w:rPr>
                <w:rFonts w:ascii="dcr10" w:eastAsia="Times New Roman" w:hAnsi="dcr10" w:cs="Times New Roman"/>
                <w:i/>
                <w:iCs/>
                <w:color w:val="0000FF"/>
                <w:sz w:val="18"/>
                <w:szCs w:val="18"/>
              </w:rPr>
              <w:t xml:space="preserve">Big 6 </w:t>
            </w:r>
            <w:r>
              <w:rPr>
                <w:rFonts w:ascii="dcr10" w:eastAsia="Times New Roman" w:hAnsi="dcr10" w:cs="Times New Roman"/>
                <w:i/>
                <w:iCs/>
                <w:color w:val="0000FF"/>
                <w:sz w:val="18"/>
                <w:szCs w:val="18"/>
              </w:rPr>
              <w:t>Median</w:t>
            </w:r>
            <w:r w:rsidRPr="00E21717">
              <w:rPr>
                <w:rFonts w:ascii="dcr10" w:eastAsia="Times New Roman" w:hAnsi="dcr10" w:cs="Times New Roman"/>
                <w:i/>
                <w:iCs/>
                <w:color w:val="0000FF"/>
                <w:sz w:val="18"/>
                <w:szCs w:val="18"/>
              </w:rPr>
              <w:t xml:space="preserve"> </w:t>
            </w:r>
          </w:p>
        </w:tc>
        <w:tc>
          <w:tcPr>
            <w:tcW w:w="1879" w:type="dxa"/>
            <w:tcBorders>
              <w:top w:val="nil"/>
              <w:left w:val="nil"/>
              <w:bottom w:val="nil"/>
              <w:right w:val="nil"/>
            </w:tcBorders>
            <w:shd w:val="clear" w:color="auto" w:fill="auto"/>
            <w:noWrap/>
            <w:vAlign w:val="bottom"/>
            <w:hideMark/>
          </w:tcPr>
          <w:p w14:paraId="7EC8D64B" w14:textId="2CC24280" w:rsidR="00BC1E5F" w:rsidRPr="00E21717" w:rsidRDefault="00116E02" w:rsidP="0040107F">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21.75</w:t>
            </w:r>
          </w:p>
        </w:tc>
        <w:tc>
          <w:tcPr>
            <w:tcW w:w="2041" w:type="dxa"/>
            <w:tcBorders>
              <w:top w:val="nil"/>
              <w:left w:val="nil"/>
              <w:bottom w:val="nil"/>
              <w:right w:val="nil"/>
            </w:tcBorders>
            <w:shd w:val="clear" w:color="auto" w:fill="auto"/>
            <w:noWrap/>
            <w:vAlign w:val="bottom"/>
            <w:hideMark/>
          </w:tcPr>
          <w:p w14:paraId="79D1FFDE" w14:textId="0324212E" w:rsidR="00BC1E5F" w:rsidRPr="00E21717" w:rsidRDefault="00116E02" w:rsidP="0040107F">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32.06</w:t>
            </w:r>
          </w:p>
        </w:tc>
        <w:tc>
          <w:tcPr>
            <w:tcW w:w="1536" w:type="dxa"/>
            <w:tcBorders>
              <w:top w:val="nil"/>
              <w:left w:val="nil"/>
              <w:bottom w:val="nil"/>
              <w:right w:val="nil"/>
            </w:tcBorders>
            <w:shd w:val="clear" w:color="auto" w:fill="auto"/>
            <w:noWrap/>
            <w:vAlign w:val="bottom"/>
            <w:hideMark/>
          </w:tcPr>
          <w:p w14:paraId="0851D4F9" w14:textId="1BBF6CA6" w:rsidR="00BC1E5F" w:rsidRPr="00E21717" w:rsidRDefault="00116E02" w:rsidP="0040107F">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20.66</w:t>
            </w:r>
          </w:p>
        </w:tc>
      </w:tr>
      <w:tr w:rsidR="00360B61" w:rsidRPr="00E21717" w14:paraId="19069C62" w14:textId="77777777" w:rsidTr="0040107F">
        <w:trPr>
          <w:trHeight w:val="302"/>
        </w:trPr>
        <w:tc>
          <w:tcPr>
            <w:tcW w:w="3031" w:type="dxa"/>
            <w:tcBorders>
              <w:top w:val="nil"/>
              <w:left w:val="nil"/>
              <w:bottom w:val="nil"/>
              <w:right w:val="nil"/>
            </w:tcBorders>
            <w:shd w:val="clear" w:color="auto" w:fill="auto"/>
            <w:noWrap/>
            <w:vAlign w:val="bottom"/>
          </w:tcPr>
          <w:p w14:paraId="39DA697D" w14:textId="77777777" w:rsidR="00360B61" w:rsidRPr="00E21717" w:rsidRDefault="00360B61" w:rsidP="0040107F">
            <w:pPr>
              <w:rPr>
                <w:rFonts w:ascii="dcr10" w:eastAsia="Times New Roman" w:hAnsi="dcr10" w:cs="Times New Roman"/>
                <w:i/>
                <w:iCs/>
                <w:color w:val="0000FF"/>
                <w:sz w:val="18"/>
                <w:szCs w:val="18"/>
              </w:rPr>
            </w:pPr>
          </w:p>
        </w:tc>
        <w:tc>
          <w:tcPr>
            <w:tcW w:w="1879" w:type="dxa"/>
            <w:tcBorders>
              <w:top w:val="nil"/>
              <w:left w:val="nil"/>
              <w:bottom w:val="nil"/>
              <w:right w:val="nil"/>
            </w:tcBorders>
            <w:shd w:val="clear" w:color="auto" w:fill="auto"/>
            <w:noWrap/>
            <w:vAlign w:val="bottom"/>
          </w:tcPr>
          <w:p w14:paraId="0B0DAD84" w14:textId="77777777" w:rsidR="00360B61" w:rsidRDefault="00360B61" w:rsidP="0040107F">
            <w:pPr>
              <w:jc w:val="center"/>
              <w:rPr>
                <w:rFonts w:ascii="dcr10" w:eastAsia="Times New Roman" w:hAnsi="dcr10" w:cs="Times New Roman"/>
                <w:i/>
                <w:iCs/>
                <w:color w:val="0000FF"/>
                <w:sz w:val="18"/>
                <w:szCs w:val="18"/>
              </w:rPr>
            </w:pPr>
          </w:p>
        </w:tc>
        <w:tc>
          <w:tcPr>
            <w:tcW w:w="2041" w:type="dxa"/>
            <w:tcBorders>
              <w:top w:val="nil"/>
              <w:left w:val="nil"/>
              <w:bottom w:val="nil"/>
              <w:right w:val="nil"/>
            </w:tcBorders>
            <w:shd w:val="clear" w:color="auto" w:fill="auto"/>
            <w:noWrap/>
            <w:vAlign w:val="bottom"/>
          </w:tcPr>
          <w:p w14:paraId="26C650E9" w14:textId="77777777" w:rsidR="00360B61" w:rsidRDefault="00360B61" w:rsidP="0040107F">
            <w:pPr>
              <w:jc w:val="center"/>
              <w:rPr>
                <w:rFonts w:ascii="dcr10" w:eastAsia="Times New Roman" w:hAnsi="dcr10" w:cs="Times New Roman"/>
                <w:i/>
                <w:iCs/>
                <w:color w:val="0000FF"/>
                <w:sz w:val="18"/>
                <w:szCs w:val="18"/>
              </w:rPr>
            </w:pPr>
          </w:p>
        </w:tc>
        <w:tc>
          <w:tcPr>
            <w:tcW w:w="1536" w:type="dxa"/>
            <w:tcBorders>
              <w:top w:val="nil"/>
              <w:left w:val="nil"/>
              <w:bottom w:val="nil"/>
              <w:right w:val="nil"/>
            </w:tcBorders>
            <w:shd w:val="clear" w:color="auto" w:fill="auto"/>
            <w:noWrap/>
            <w:vAlign w:val="bottom"/>
          </w:tcPr>
          <w:p w14:paraId="211AB7B7" w14:textId="77777777" w:rsidR="00360B61" w:rsidRDefault="00360B61" w:rsidP="0040107F">
            <w:pPr>
              <w:jc w:val="center"/>
              <w:rPr>
                <w:rFonts w:ascii="dcr10" w:eastAsia="Times New Roman" w:hAnsi="dcr10" w:cs="Times New Roman"/>
                <w:i/>
                <w:iCs/>
                <w:color w:val="0000FF"/>
                <w:sz w:val="18"/>
                <w:szCs w:val="18"/>
              </w:rPr>
            </w:pPr>
          </w:p>
        </w:tc>
      </w:tr>
    </w:tbl>
    <w:p w14:paraId="05D60DB3" w14:textId="77777777" w:rsidR="00360B61" w:rsidRDefault="00360B61" w:rsidP="0040107F">
      <w:pPr>
        <w:rPr>
          <w:rFonts w:ascii="dcr10" w:eastAsia="Times New Roman" w:hAnsi="dcr10" w:cs="Times New Roman"/>
          <w:i/>
          <w:iCs/>
          <w:color w:val="0000FF"/>
          <w:sz w:val="18"/>
          <w:szCs w:val="18"/>
        </w:rPr>
        <w:sectPr w:rsidR="00360B61" w:rsidSect="00170627">
          <w:pgSz w:w="12240" w:h="15840"/>
          <w:pgMar w:top="1296" w:right="1296" w:bottom="1296" w:left="1296" w:header="720" w:footer="720" w:gutter="0"/>
          <w:cols w:space="720"/>
          <w:docGrid w:linePitch="360"/>
        </w:sectPr>
      </w:pPr>
    </w:p>
    <w:tbl>
      <w:tblPr>
        <w:tblpPr w:leftFromText="180" w:rightFromText="180" w:vertAnchor="page" w:horzAnchor="page" w:tblpX="1909" w:tblpY="3241"/>
        <w:tblW w:w="8487" w:type="dxa"/>
        <w:tblLook w:val="04A0" w:firstRow="1" w:lastRow="0" w:firstColumn="1" w:lastColumn="0" w:noHBand="0" w:noVBand="1"/>
      </w:tblPr>
      <w:tblGrid>
        <w:gridCol w:w="3031"/>
        <w:gridCol w:w="1879"/>
        <w:gridCol w:w="2041"/>
        <w:gridCol w:w="1536"/>
      </w:tblGrid>
      <w:tr w:rsidR="00360B61" w:rsidRPr="00E21717" w14:paraId="1D76382D" w14:textId="77777777" w:rsidTr="0040107F">
        <w:trPr>
          <w:trHeight w:val="302"/>
        </w:trPr>
        <w:tc>
          <w:tcPr>
            <w:tcW w:w="3031" w:type="dxa"/>
            <w:tcBorders>
              <w:top w:val="nil"/>
              <w:left w:val="nil"/>
              <w:bottom w:val="nil"/>
              <w:right w:val="nil"/>
            </w:tcBorders>
            <w:shd w:val="clear" w:color="auto" w:fill="auto"/>
            <w:noWrap/>
            <w:vAlign w:val="bottom"/>
          </w:tcPr>
          <w:p w14:paraId="302810AC" w14:textId="5B55CE3E" w:rsidR="00360B61" w:rsidRPr="00E21717" w:rsidRDefault="00360B61" w:rsidP="0040107F">
            <w:pPr>
              <w:rPr>
                <w:rFonts w:ascii="dcr10" w:eastAsia="Times New Roman" w:hAnsi="dcr10" w:cs="Times New Roman"/>
                <w:i/>
                <w:iCs/>
                <w:color w:val="0000FF"/>
                <w:sz w:val="18"/>
                <w:szCs w:val="18"/>
              </w:rPr>
            </w:pPr>
          </w:p>
        </w:tc>
        <w:tc>
          <w:tcPr>
            <w:tcW w:w="1879" w:type="dxa"/>
            <w:tcBorders>
              <w:top w:val="nil"/>
              <w:left w:val="nil"/>
              <w:bottom w:val="nil"/>
              <w:right w:val="nil"/>
            </w:tcBorders>
            <w:shd w:val="clear" w:color="auto" w:fill="auto"/>
            <w:noWrap/>
            <w:vAlign w:val="bottom"/>
          </w:tcPr>
          <w:p w14:paraId="0C1453DB" w14:textId="77777777" w:rsidR="00360B61" w:rsidRDefault="00360B61" w:rsidP="0040107F">
            <w:pPr>
              <w:jc w:val="center"/>
              <w:rPr>
                <w:rFonts w:ascii="dcr10" w:eastAsia="Times New Roman" w:hAnsi="dcr10" w:cs="Times New Roman"/>
                <w:i/>
                <w:iCs/>
                <w:color w:val="0000FF"/>
                <w:sz w:val="18"/>
                <w:szCs w:val="18"/>
              </w:rPr>
            </w:pPr>
          </w:p>
        </w:tc>
        <w:tc>
          <w:tcPr>
            <w:tcW w:w="2041" w:type="dxa"/>
            <w:tcBorders>
              <w:top w:val="nil"/>
              <w:left w:val="nil"/>
              <w:bottom w:val="nil"/>
              <w:right w:val="nil"/>
            </w:tcBorders>
            <w:shd w:val="clear" w:color="auto" w:fill="auto"/>
            <w:noWrap/>
            <w:vAlign w:val="bottom"/>
          </w:tcPr>
          <w:p w14:paraId="02E1A2F9" w14:textId="77777777" w:rsidR="00360B61" w:rsidRDefault="00360B61" w:rsidP="0040107F">
            <w:pPr>
              <w:jc w:val="center"/>
              <w:rPr>
                <w:rFonts w:ascii="dcr10" w:eastAsia="Times New Roman" w:hAnsi="dcr10" w:cs="Times New Roman"/>
                <w:i/>
                <w:iCs/>
                <w:color w:val="0000FF"/>
                <w:sz w:val="18"/>
                <w:szCs w:val="18"/>
              </w:rPr>
            </w:pPr>
          </w:p>
        </w:tc>
        <w:tc>
          <w:tcPr>
            <w:tcW w:w="1536" w:type="dxa"/>
            <w:tcBorders>
              <w:top w:val="nil"/>
              <w:left w:val="nil"/>
              <w:bottom w:val="nil"/>
              <w:right w:val="nil"/>
            </w:tcBorders>
            <w:shd w:val="clear" w:color="auto" w:fill="auto"/>
            <w:noWrap/>
            <w:vAlign w:val="bottom"/>
          </w:tcPr>
          <w:p w14:paraId="2535D697" w14:textId="77777777" w:rsidR="00360B61" w:rsidRDefault="00360B61" w:rsidP="0040107F">
            <w:pPr>
              <w:jc w:val="center"/>
              <w:rPr>
                <w:rFonts w:ascii="dcr10" w:eastAsia="Times New Roman" w:hAnsi="dcr10" w:cs="Times New Roman"/>
                <w:i/>
                <w:iCs/>
                <w:color w:val="0000FF"/>
                <w:sz w:val="18"/>
                <w:szCs w:val="18"/>
              </w:rPr>
            </w:pPr>
          </w:p>
        </w:tc>
      </w:tr>
    </w:tbl>
    <w:p w14:paraId="3E9CAD89" w14:textId="0F07D268" w:rsidR="00360B61" w:rsidRDefault="00360B61" w:rsidP="00360B61">
      <w:pPr>
        <w:spacing w:after="120"/>
        <w:jc w:val="center"/>
        <w:rPr>
          <w:rFonts w:ascii="dcr10" w:hAnsi="dcr10"/>
        </w:rPr>
      </w:pPr>
      <w:r w:rsidRPr="00E21717">
        <w:rPr>
          <w:rFonts w:ascii="dcr10" w:hAnsi="dcr10"/>
        </w:rPr>
        <w:t xml:space="preserve">Table </w:t>
      </w:r>
      <w:r>
        <w:rPr>
          <w:rFonts w:ascii="dcr10" w:hAnsi="dcr10"/>
        </w:rPr>
        <w:t>VI</w:t>
      </w:r>
      <w:r w:rsidR="006C76BA">
        <w:rPr>
          <w:rFonts w:ascii="dcr10" w:hAnsi="dcr10"/>
        </w:rPr>
        <w:t>I</w:t>
      </w:r>
      <w:r w:rsidRPr="00E21717">
        <w:rPr>
          <w:rFonts w:ascii="dcr10" w:hAnsi="dcr10"/>
        </w:rPr>
        <w:br/>
      </w:r>
      <w:r>
        <w:rPr>
          <w:rFonts w:ascii="dcr10" w:hAnsi="dcr10"/>
        </w:rPr>
        <w:t xml:space="preserve">Implied Volatility/Implied Market Volatility for International Banks. </w:t>
      </w:r>
    </w:p>
    <w:p w14:paraId="4AA6CACF" w14:textId="52C573CE" w:rsidR="00360B61" w:rsidRDefault="00360B61" w:rsidP="00360B61">
      <w:pPr>
        <w:jc w:val="both"/>
        <w:rPr>
          <w:rFonts w:ascii="dcr10" w:hAnsi="dcr10"/>
        </w:rPr>
      </w:pPr>
      <w:r w:rsidRPr="00E21717">
        <w:rPr>
          <w:rFonts w:ascii="dcr10" w:hAnsi="dcr10"/>
        </w:rPr>
        <w:t xml:space="preserve">This table </w:t>
      </w:r>
      <w:r w:rsidR="00F902E1">
        <w:rPr>
          <w:rFonts w:ascii="dcr10" w:hAnsi="dcr10"/>
        </w:rPr>
        <w:t>compares implied</w:t>
      </w:r>
      <w:r w:rsidRPr="00E21717">
        <w:rPr>
          <w:rFonts w:ascii="dcr10" w:hAnsi="dcr10"/>
        </w:rPr>
        <w:t xml:space="preserve"> </w:t>
      </w:r>
      <w:r>
        <w:rPr>
          <w:rFonts w:ascii="dcr10" w:hAnsi="dcr10"/>
        </w:rPr>
        <w:t>volatility</w:t>
      </w:r>
      <w:r w:rsidRPr="00E21717">
        <w:rPr>
          <w:rFonts w:ascii="dcr10" w:hAnsi="dcr10"/>
        </w:rPr>
        <w:t xml:space="preserve"> </w:t>
      </w:r>
      <w:r w:rsidR="00F902E1">
        <w:rPr>
          <w:rFonts w:ascii="dcr10" w:hAnsi="dcr10"/>
        </w:rPr>
        <w:t xml:space="preserve">to market implied volatility </w:t>
      </w:r>
      <w:r w:rsidRPr="00E21717">
        <w:rPr>
          <w:rFonts w:ascii="dcr10" w:hAnsi="dcr10"/>
        </w:rPr>
        <w:t>for the thirty largest international financial institutions (excluding Chinese and American banks)</w:t>
      </w:r>
      <w:r>
        <w:rPr>
          <w:rFonts w:ascii="dcr10" w:hAnsi="dcr10"/>
        </w:rPr>
        <w:t xml:space="preserve"> for </w:t>
      </w:r>
      <w:proofErr w:type="gramStart"/>
      <w:r>
        <w:rPr>
          <w:rFonts w:ascii="dcr10" w:hAnsi="dcr10"/>
        </w:rPr>
        <w:t>whom</w:t>
      </w:r>
      <w:proofErr w:type="gramEnd"/>
      <w:r>
        <w:rPr>
          <w:rFonts w:ascii="dcr10" w:hAnsi="dcr10"/>
        </w:rPr>
        <w:t xml:space="preserve"> data is available</w:t>
      </w:r>
      <w:r w:rsidRPr="00E21717">
        <w:rPr>
          <w:rFonts w:ascii="dcr10" w:hAnsi="dcr10"/>
        </w:rPr>
        <w:t>. Pre-crisis is 200</w:t>
      </w:r>
      <w:r>
        <w:rPr>
          <w:rFonts w:ascii="dcr10" w:hAnsi="dcr10"/>
        </w:rPr>
        <w:t>5</w:t>
      </w:r>
      <w:r w:rsidRPr="00E21717">
        <w:rPr>
          <w:rFonts w:ascii="dcr10" w:hAnsi="dcr10"/>
        </w:rPr>
        <w:t>-2007</w:t>
      </w:r>
      <w:r>
        <w:rPr>
          <w:rFonts w:ascii="dcr10" w:hAnsi="dcr10"/>
        </w:rPr>
        <w:t xml:space="preserve"> </w:t>
      </w:r>
      <w:r w:rsidRPr="00E21717">
        <w:rPr>
          <w:rFonts w:ascii="dcr10" w:hAnsi="dcr10"/>
        </w:rPr>
        <w:t>and post-crisis is 2010-2014. We also compare pre-crisis to the most recent 2014 data.</w:t>
      </w:r>
      <w:r>
        <w:rPr>
          <w:rFonts w:ascii="dcr10" w:hAnsi="dcr10"/>
        </w:rPr>
        <w:t xml:space="preserve"> Note that because Canada, Australia, and Brazil do not have implied volatility indices that go back far, we compare implied volatilities for banks in these countries to the </w:t>
      </w:r>
      <w:r w:rsidR="00D90CED">
        <w:rPr>
          <w:rFonts w:ascii="dcr10" w:hAnsi="dcr10"/>
        </w:rPr>
        <w:t>US VIX.</w:t>
      </w:r>
    </w:p>
    <w:p w14:paraId="103923DE" w14:textId="7B21C453" w:rsidR="00360B61" w:rsidRPr="00E21717" w:rsidRDefault="00360B61" w:rsidP="00360B61">
      <w:pPr>
        <w:jc w:val="both"/>
        <w:rPr>
          <w:rFonts w:ascii="dcr10" w:hAnsi="dcr10"/>
        </w:rPr>
      </w:pPr>
    </w:p>
    <w:p w14:paraId="7BBF460E" w14:textId="77777777" w:rsidR="00360B61" w:rsidRPr="00E21717" w:rsidRDefault="00360B61" w:rsidP="00360B61">
      <w:pPr>
        <w:jc w:val="both"/>
        <w:rPr>
          <w:rFonts w:ascii="dcr10" w:hAnsi="dcr10"/>
        </w:rPr>
      </w:pPr>
    </w:p>
    <w:tbl>
      <w:tblPr>
        <w:tblpPr w:leftFromText="180" w:rightFromText="180" w:vertAnchor="page" w:horzAnchor="page" w:tblpX="1909" w:tblpY="3241"/>
        <w:tblW w:w="8487" w:type="dxa"/>
        <w:tblLook w:val="04A0" w:firstRow="1" w:lastRow="0" w:firstColumn="1" w:lastColumn="0" w:noHBand="0" w:noVBand="1"/>
      </w:tblPr>
      <w:tblGrid>
        <w:gridCol w:w="3031"/>
        <w:gridCol w:w="1879"/>
        <w:gridCol w:w="2041"/>
        <w:gridCol w:w="1536"/>
      </w:tblGrid>
      <w:tr w:rsidR="00360B61" w:rsidRPr="00E21717" w14:paraId="0450C017" w14:textId="77777777" w:rsidTr="00552EF7">
        <w:trPr>
          <w:trHeight w:val="302"/>
        </w:trPr>
        <w:tc>
          <w:tcPr>
            <w:tcW w:w="3031" w:type="dxa"/>
            <w:tcBorders>
              <w:top w:val="single" w:sz="4" w:space="0" w:color="auto"/>
              <w:left w:val="nil"/>
              <w:bottom w:val="single" w:sz="4" w:space="0" w:color="auto"/>
              <w:right w:val="nil"/>
            </w:tcBorders>
            <w:shd w:val="clear" w:color="auto" w:fill="auto"/>
            <w:noWrap/>
            <w:vAlign w:val="center"/>
            <w:hideMark/>
          </w:tcPr>
          <w:p w14:paraId="73EF85A3" w14:textId="77777777" w:rsidR="00360B61" w:rsidRPr="00E21717" w:rsidRDefault="00360B61" w:rsidP="00552EF7">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 xml:space="preserve">Bank  </w:t>
            </w:r>
          </w:p>
        </w:tc>
        <w:tc>
          <w:tcPr>
            <w:tcW w:w="1879" w:type="dxa"/>
            <w:tcBorders>
              <w:top w:val="single" w:sz="4" w:space="0" w:color="auto"/>
              <w:left w:val="nil"/>
              <w:bottom w:val="single" w:sz="4" w:space="0" w:color="auto"/>
              <w:right w:val="nil"/>
            </w:tcBorders>
            <w:shd w:val="clear" w:color="auto" w:fill="auto"/>
            <w:noWrap/>
            <w:vAlign w:val="center"/>
            <w:hideMark/>
          </w:tcPr>
          <w:p w14:paraId="46E6B67A" w14:textId="77777777" w:rsidR="00360B61" w:rsidRPr="00E21717" w:rsidRDefault="00360B61" w:rsidP="00552EF7">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Pre-crisis average</w:t>
            </w:r>
          </w:p>
        </w:tc>
        <w:tc>
          <w:tcPr>
            <w:tcW w:w="2041" w:type="dxa"/>
            <w:tcBorders>
              <w:top w:val="single" w:sz="4" w:space="0" w:color="auto"/>
              <w:left w:val="nil"/>
              <w:bottom w:val="single" w:sz="4" w:space="0" w:color="auto"/>
              <w:right w:val="nil"/>
            </w:tcBorders>
            <w:shd w:val="clear" w:color="auto" w:fill="auto"/>
            <w:noWrap/>
            <w:vAlign w:val="center"/>
            <w:hideMark/>
          </w:tcPr>
          <w:p w14:paraId="1BF32E54" w14:textId="77777777" w:rsidR="00360B61" w:rsidRPr="00E21717" w:rsidRDefault="00360B61" w:rsidP="00552EF7">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Post-crisis average</w:t>
            </w:r>
          </w:p>
        </w:tc>
        <w:tc>
          <w:tcPr>
            <w:tcW w:w="1536" w:type="dxa"/>
            <w:tcBorders>
              <w:top w:val="single" w:sz="4" w:space="0" w:color="auto"/>
              <w:left w:val="nil"/>
              <w:bottom w:val="single" w:sz="4" w:space="0" w:color="auto"/>
              <w:right w:val="nil"/>
            </w:tcBorders>
            <w:shd w:val="clear" w:color="auto" w:fill="auto"/>
            <w:noWrap/>
            <w:vAlign w:val="center"/>
            <w:hideMark/>
          </w:tcPr>
          <w:p w14:paraId="5B451558" w14:textId="77777777" w:rsidR="00360B61" w:rsidRPr="00E21717" w:rsidRDefault="00360B61" w:rsidP="00552EF7">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2014 average</w:t>
            </w:r>
          </w:p>
        </w:tc>
      </w:tr>
      <w:tr w:rsidR="0038727B" w:rsidRPr="00E21717" w14:paraId="129E5413" w14:textId="77777777" w:rsidTr="00552EF7">
        <w:trPr>
          <w:trHeight w:val="302"/>
        </w:trPr>
        <w:tc>
          <w:tcPr>
            <w:tcW w:w="3031" w:type="dxa"/>
            <w:tcBorders>
              <w:top w:val="single" w:sz="4" w:space="0" w:color="auto"/>
              <w:left w:val="nil"/>
              <w:bottom w:val="nil"/>
              <w:right w:val="nil"/>
            </w:tcBorders>
            <w:shd w:val="clear" w:color="auto" w:fill="auto"/>
            <w:noWrap/>
            <w:vAlign w:val="center"/>
            <w:hideMark/>
          </w:tcPr>
          <w:p w14:paraId="28E5F425"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Credit </w:t>
            </w:r>
            <w:proofErr w:type="spellStart"/>
            <w:r w:rsidRPr="00E21717">
              <w:rPr>
                <w:rFonts w:ascii="dcr10" w:eastAsia="Times New Roman" w:hAnsi="dcr10" w:cs="Times New Roman"/>
                <w:color w:val="000000"/>
                <w:sz w:val="18"/>
                <w:szCs w:val="18"/>
              </w:rPr>
              <w:t>Agricole</w:t>
            </w:r>
            <w:proofErr w:type="spellEnd"/>
            <w:r w:rsidRPr="00E21717">
              <w:rPr>
                <w:rFonts w:ascii="dcr10" w:eastAsia="Times New Roman" w:hAnsi="dcr10" w:cs="Times New Roman"/>
                <w:color w:val="000000"/>
                <w:sz w:val="18"/>
                <w:szCs w:val="18"/>
              </w:rPr>
              <w:t xml:space="preserve"> Group</w:t>
            </w:r>
          </w:p>
        </w:tc>
        <w:tc>
          <w:tcPr>
            <w:tcW w:w="1879" w:type="dxa"/>
            <w:tcBorders>
              <w:top w:val="single" w:sz="4" w:space="0" w:color="auto"/>
              <w:left w:val="nil"/>
              <w:bottom w:val="nil"/>
              <w:right w:val="nil"/>
            </w:tcBorders>
            <w:shd w:val="clear" w:color="auto" w:fill="auto"/>
            <w:noWrap/>
            <w:vAlign w:val="center"/>
            <w:hideMark/>
          </w:tcPr>
          <w:p w14:paraId="18D3F55A" w14:textId="18D586DD"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1.48</w:t>
            </w:r>
          </w:p>
        </w:tc>
        <w:tc>
          <w:tcPr>
            <w:tcW w:w="2041" w:type="dxa"/>
            <w:tcBorders>
              <w:top w:val="single" w:sz="4" w:space="0" w:color="auto"/>
              <w:left w:val="nil"/>
              <w:bottom w:val="nil"/>
              <w:right w:val="nil"/>
            </w:tcBorders>
            <w:shd w:val="clear" w:color="auto" w:fill="auto"/>
            <w:noWrap/>
            <w:vAlign w:val="center"/>
            <w:hideMark/>
          </w:tcPr>
          <w:p w14:paraId="1678433B" w14:textId="1F236813"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1.90</w:t>
            </w:r>
          </w:p>
        </w:tc>
        <w:tc>
          <w:tcPr>
            <w:tcW w:w="1536" w:type="dxa"/>
            <w:tcBorders>
              <w:top w:val="single" w:sz="4" w:space="0" w:color="auto"/>
              <w:left w:val="nil"/>
              <w:bottom w:val="nil"/>
              <w:right w:val="nil"/>
            </w:tcBorders>
            <w:shd w:val="clear" w:color="auto" w:fill="auto"/>
            <w:noWrap/>
            <w:vAlign w:val="center"/>
            <w:hideMark/>
          </w:tcPr>
          <w:p w14:paraId="1EB7F77E" w14:textId="059AF67B"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1.71</w:t>
            </w:r>
          </w:p>
        </w:tc>
      </w:tr>
      <w:tr w:rsidR="0038727B" w:rsidRPr="00E21717" w14:paraId="14BD745B" w14:textId="77777777" w:rsidTr="00552EF7">
        <w:trPr>
          <w:trHeight w:val="302"/>
        </w:trPr>
        <w:tc>
          <w:tcPr>
            <w:tcW w:w="3031" w:type="dxa"/>
            <w:tcBorders>
              <w:top w:val="nil"/>
              <w:left w:val="nil"/>
              <w:bottom w:val="nil"/>
              <w:right w:val="nil"/>
            </w:tcBorders>
            <w:shd w:val="clear" w:color="auto" w:fill="auto"/>
            <w:noWrap/>
            <w:vAlign w:val="center"/>
            <w:hideMark/>
          </w:tcPr>
          <w:p w14:paraId="5F0C1253"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Australia &amp; NZ Bank</w:t>
            </w:r>
          </w:p>
        </w:tc>
        <w:tc>
          <w:tcPr>
            <w:tcW w:w="1879" w:type="dxa"/>
            <w:tcBorders>
              <w:top w:val="nil"/>
              <w:left w:val="nil"/>
              <w:bottom w:val="nil"/>
              <w:right w:val="nil"/>
            </w:tcBorders>
            <w:shd w:val="clear" w:color="auto" w:fill="auto"/>
            <w:noWrap/>
            <w:vAlign w:val="center"/>
            <w:hideMark/>
          </w:tcPr>
          <w:p w14:paraId="6D27E78C" w14:textId="64FED24B"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1.10</w:t>
            </w:r>
          </w:p>
        </w:tc>
        <w:tc>
          <w:tcPr>
            <w:tcW w:w="2041" w:type="dxa"/>
            <w:tcBorders>
              <w:top w:val="nil"/>
              <w:left w:val="nil"/>
              <w:bottom w:val="nil"/>
              <w:right w:val="nil"/>
            </w:tcBorders>
            <w:shd w:val="clear" w:color="auto" w:fill="auto"/>
            <w:noWrap/>
            <w:vAlign w:val="center"/>
            <w:hideMark/>
          </w:tcPr>
          <w:p w14:paraId="2EEAC731" w14:textId="6ECFEB61"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1.00</w:t>
            </w:r>
          </w:p>
        </w:tc>
        <w:tc>
          <w:tcPr>
            <w:tcW w:w="1536" w:type="dxa"/>
            <w:tcBorders>
              <w:top w:val="nil"/>
              <w:left w:val="nil"/>
              <w:bottom w:val="nil"/>
              <w:right w:val="nil"/>
            </w:tcBorders>
            <w:shd w:val="clear" w:color="auto" w:fill="auto"/>
            <w:noWrap/>
            <w:vAlign w:val="center"/>
            <w:hideMark/>
          </w:tcPr>
          <w:p w14:paraId="7FE87AD7" w14:textId="6F975575"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1.00</w:t>
            </w:r>
          </w:p>
        </w:tc>
      </w:tr>
      <w:tr w:rsidR="0038727B" w:rsidRPr="00E21717" w14:paraId="03501F4C" w14:textId="77777777" w:rsidTr="00552EF7">
        <w:trPr>
          <w:trHeight w:val="302"/>
        </w:trPr>
        <w:tc>
          <w:tcPr>
            <w:tcW w:w="3031" w:type="dxa"/>
            <w:tcBorders>
              <w:top w:val="nil"/>
              <w:left w:val="nil"/>
              <w:bottom w:val="nil"/>
              <w:right w:val="nil"/>
            </w:tcBorders>
            <w:shd w:val="clear" w:color="auto" w:fill="auto"/>
            <w:noWrap/>
            <w:vAlign w:val="center"/>
            <w:hideMark/>
          </w:tcPr>
          <w:p w14:paraId="4325906A" w14:textId="77777777" w:rsidR="0038727B" w:rsidRPr="00E21717" w:rsidRDefault="0038727B"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Banco</w:t>
            </w:r>
            <w:proofErr w:type="spellEnd"/>
            <w:r w:rsidRPr="00E21717">
              <w:rPr>
                <w:rFonts w:ascii="dcr10" w:eastAsia="Times New Roman" w:hAnsi="dcr10" w:cs="Times New Roman"/>
                <w:color w:val="000000"/>
                <w:sz w:val="18"/>
                <w:szCs w:val="18"/>
              </w:rPr>
              <w:t xml:space="preserve"> do </w:t>
            </w:r>
            <w:proofErr w:type="spellStart"/>
            <w:r w:rsidRPr="00E21717">
              <w:rPr>
                <w:rFonts w:ascii="dcr10" w:eastAsia="Times New Roman" w:hAnsi="dcr10" w:cs="Times New Roman"/>
                <w:color w:val="000000"/>
                <w:sz w:val="18"/>
                <w:szCs w:val="18"/>
              </w:rPr>
              <w:t>Brasil</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132205AE" w14:textId="26E07AE9"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3.63</w:t>
            </w:r>
          </w:p>
        </w:tc>
        <w:tc>
          <w:tcPr>
            <w:tcW w:w="2041" w:type="dxa"/>
            <w:tcBorders>
              <w:top w:val="nil"/>
              <w:left w:val="nil"/>
              <w:bottom w:val="nil"/>
              <w:right w:val="nil"/>
            </w:tcBorders>
            <w:shd w:val="clear" w:color="auto" w:fill="auto"/>
            <w:noWrap/>
            <w:vAlign w:val="center"/>
            <w:hideMark/>
          </w:tcPr>
          <w:p w14:paraId="1B40AF84" w14:textId="5FDCF81C"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2.19</w:t>
            </w:r>
          </w:p>
        </w:tc>
        <w:tc>
          <w:tcPr>
            <w:tcW w:w="1536" w:type="dxa"/>
            <w:tcBorders>
              <w:top w:val="nil"/>
              <w:left w:val="nil"/>
              <w:bottom w:val="nil"/>
              <w:right w:val="nil"/>
            </w:tcBorders>
            <w:shd w:val="clear" w:color="auto" w:fill="auto"/>
            <w:noWrap/>
            <w:vAlign w:val="center"/>
            <w:hideMark/>
          </w:tcPr>
          <w:p w14:paraId="1B9A237C" w14:textId="3D10F862"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2.80</w:t>
            </w:r>
          </w:p>
        </w:tc>
      </w:tr>
      <w:tr w:rsidR="0038727B" w:rsidRPr="00E21717" w14:paraId="08F5B8D4" w14:textId="77777777" w:rsidTr="00552EF7">
        <w:trPr>
          <w:trHeight w:val="302"/>
        </w:trPr>
        <w:tc>
          <w:tcPr>
            <w:tcW w:w="3031" w:type="dxa"/>
            <w:tcBorders>
              <w:top w:val="nil"/>
              <w:left w:val="nil"/>
              <w:bottom w:val="nil"/>
              <w:right w:val="nil"/>
            </w:tcBorders>
            <w:shd w:val="clear" w:color="auto" w:fill="auto"/>
            <w:noWrap/>
            <w:vAlign w:val="center"/>
            <w:hideMark/>
          </w:tcPr>
          <w:p w14:paraId="33CD5285"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Bank of Montreal </w:t>
            </w:r>
          </w:p>
        </w:tc>
        <w:tc>
          <w:tcPr>
            <w:tcW w:w="1879" w:type="dxa"/>
            <w:tcBorders>
              <w:top w:val="nil"/>
              <w:left w:val="nil"/>
              <w:bottom w:val="nil"/>
              <w:right w:val="nil"/>
            </w:tcBorders>
            <w:shd w:val="clear" w:color="auto" w:fill="auto"/>
            <w:noWrap/>
            <w:vAlign w:val="center"/>
            <w:hideMark/>
          </w:tcPr>
          <w:p w14:paraId="66E37CBA" w14:textId="534EC4FE"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1.13</w:t>
            </w:r>
          </w:p>
        </w:tc>
        <w:tc>
          <w:tcPr>
            <w:tcW w:w="2041" w:type="dxa"/>
            <w:tcBorders>
              <w:top w:val="nil"/>
              <w:left w:val="nil"/>
              <w:bottom w:val="nil"/>
              <w:right w:val="nil"/>
            </w:tcBorders>
            <w:shd w:val="clear" w:color="auto" w:fill="auto"/>
            <w:noWrap/>
            <w:vAlign w:val="center"/>
            <w:hideMark/>
          </w:tcPr>
          <w:p w14:paraId="4034D632" w14:textId="6C0CC5AD"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0.99</w:t>
            </w:r>
          </w:p>
        </w:tc>
        <w:tc>
          <w:tcPr>
            <w:tcW w:w="1536" w:type="dxa"/>
            <w:tcBorders>
              <w:top w:val="nil"/>
              <w:left w:val="nil"/>
              <w:bottom w:val="nil"/>
              <w:right w:val="nil"/>
            </w:tcBorders>
            <w:shd w:val="clear" w:color="auto" w:fill="auto"/>
            <w:noWrap/>
            <w:vAlign w:val="center"/>
            <w:hideMark/>
          </w:tcPr>
          <w:p w14:paraId="460A01D9" w14:textId="0DAE08E8"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0.85</w:t>
            </w:r>
          </w:p>
        </w:tc>
      </w:tr>
      <w:tr w:rsidR="0038727B" w:rsidRPr="00E21717" w14:paraId="1A6714CC" w14:textId="77777777" w:rsidTr="00552EF7">
        <w:trPr>
          <w:trHeight w:val="302"/>
        </w:trPr>
        <w:tc>
          <w:tcPr>
            <w:tcW w:w="3031" w:type="dxa"/>
            <w:tcBorders>
              <w:top w:val="nil"/>
              <w:left w:val="nil"/>
              <w:bottom w:val="nil"/>
              <w:right w:val="nil"/>
            </w:tcBorders>
            <w:shd w:val="clear" w:color="auto" w:fill="auto"/>
            <w:noWrap/>
            <w:vAlign w:val="center"/>
            <w:hideMark/>
          </w:tcPr>
          <w:p w14:paraId="55C04C12"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Barclays PLC</w:t>
            </w:r>
          </w:p>
        </w:tc>
        <w:tc>
          <w:tcPr>
            <w:tcW w:w="1879" w:type="dxa"/>
            <w:tcBorders>
              <w:top w:val="nil"/>
              <w:left w:val="nil"/>
              <w:bottom w:val="nil"/>
              <w:right w:val="nil"/>
            </w:tcBorders>
            <w:shd w:val="clear" w:color="auto" w:fill="auto"/>
            <w:noWrap/>
            <w:vAlign w:val="center"/>
            <w:hideMark/>
          </w:tcPr>
          <w:p w14:paraId="4D332B13" w14:textId="5902D73F"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1.79</w:t>
            </w:r>
          </w:p>
        </w:tc>
        <w:tc>
          <w:tcPr>
            <w:tcW w:w="2041" w:type="dxa"/>
            <w:tcBorders>
              <w:top w:val="nil"/>
              <w:left w:val="nil"/>
              <w:bottom w:val="nil"/>
              <w:right w:val="nil"/>
            </w:tcBorders>
            <w:shd w:val="clear" w:color="auto" w:fill="auto"/>
            <w:noWrap/>
            <w:vAlign w:val="center"/>
            <w:hideMark/>
          </w:tcPr>
          <w:p w14:paraId="3F085E41" w14:textId="7B4C07C0"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2.22</w:t>
            </w:r>
          </w:p>
        </w:tc>
        <w:tc>
          <w:tcPr>
            <w:tcW w:w="1536" w:type="dxa"/>
            <w:tcBorders>
              <w:top w:val="nil"/>
              <w:left w:val="nil"/>
              <w:bottom w:val="nil"/>
              <w:right w:val="nil"/>
            </w:tcBorders>
            <w:shd w:val="clear" w:color="auto" w:fill="auto"/>
            <w:noWrap/>
            <w:vAlign w:val="center"/>
            <w:hideMark/>
          </w:tcPr>
          <w:p w14:paraId="3F14C219" w14:textId="36DB1B74"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2.00</w:t>
            </w:r>
          </w:p>
        </w:tc>
      </w:tr>
      <w:tr w:rsidR="0038727B" w:rsidRPr="00E21717" w14:paraId="379F25EF" w14:textId="77777777" w:rsidTr="00552EF7">
        <w:trPr>
          <w:trHeight w:val="302"/>
        </w:trPr>
        <w:tc>
          <w:tcPr>
            <w:tcW w:w="3031" w:type="dxa"/>
            <w:tcBorders>
              <w:top w:val="nil"/>
              <w:left w:val="nil"/>
              <w:bottom w:val="nil"/>
              <w:right w:val="nil"/>
            </w:tcBorders>
            <w:shd w:val="clear" w:color="auto" w:fill="auto"/>
            <w:noWrap/>
            <w:vAlign w:val="center"/>
            <w:hideMark/>
          </w:tcPr>
          <w:p w14:paraId="7F95962B"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BNP Paribas</w:t>
            </w:r>
          </w:p>
        </w:tc>
        <w:tc>
          <w:tcPr>
            <w:tcW w:w="1879" w:type="dxa"/>
            <w:tcBorders>
              <w:top w:val="nil"/>
              <w:left w:val="nil"/>
              <w:bottom w:val="nil"/>
              <w:right w:val="nil"/>
            </w:tcBorders>
            <w:shd w:val="clear" w:color="auto" w:fill="auto"/>
            <w:noWrap/>
            <w:vAlign w:val="center"/>
            <w:hideMark/>
          </w:tcPr>
          <w:p w14:paraId="28AEFB70" w14:textId="27ABF14D"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1.34</w:t>
            </w:r>
          </w:p>
        </w:tc>
        <w:tc>
          <w:tcPr>
            <w:tcW w:w="2041" w:type="dxa"/>
            <w:tcBorders>
              <w:top w:val="nil"/>
              <w:left w:val="nil"/>
              <w:bottom w:val="nil"/>
              <w:right w:val="nil"/>
            </w:tcBorders>
            <w:shd w:val="clear" w:color="auto" w:fill="auto"/>
            <w:noWrap/>
            <w:vAlign w:val="center"/>
            <w:hideMark/>
          </w:tcPr>
          <w:p w14:paraId="5BF0CF6D" w14:textId="51DDBBFA"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1.69</w:t>
            </w:r>
          </w:p>
        </w:tc>
        <w:tc>
          <w:tcPr>
            <w:tcW w:w="1536" w:type="dxa"/>
            <w:tcBorders>
              <w:top w:val="nil"/>
              <w:left w:val="nil"/>
              <w:bottom w:val="nil"/>
              <w:right w:val="nil"/>
            </w:tcBorders>
            <w:shd w:val="clear" w:color="auto" w:fill="auto"/>
            <w:noWrap/>
            <w:vAlign w:val="center"/>
            <w:hideMark/>
          </w:tcPr>
          <w:p w14:paraId="40527D56" w14:textId="6B0F7A8D"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1.44</w:t>
            </w:r>
          </w:p>
        </w:tc>
      </w:tr>
      <w:tr w:rsidR="0038727B" w:rsidRPr="00E21717" w14:paraId="506C6665" w14:textId="77777777" w:rsidTr="00552EF7">
        <w:trPr>
          <w:trHeight w:val="302"/>
        </w:trPr>
        <w:tc>
          <w:tcPr>
            <w:tcW w:w="3031" w:type="dxa"/>
            <w:tcBorders>
              <w:top w:val="nil"/>
              <w:left w:val="nil"/>
              <w:bottom w:val="nil"/>
              <w:right w:val="nil"/>
            </w:tcBorders>
            <w:shd w:val="clear" w:color="auto" w:fill="auto"/>
            <w:noWrap/>
            <w:vAlign w:val="center"/>
            <w:hideMark/>
          </w:tcPr>
          <w:p w14:paraId="6F7F058F"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Commerzbank </w:t>
            </w:r>
          </w:p>
        </w:tc>
        <w:tc>
          <w:tcPr>
            <w:tcW w:w="1879" w:type="dxa"/>
            <w:tcBorders>
              <w:top w:val="nil"/>
              <w:left w:val="nil"/>
              <w:bottom w:val="nil"/>
              <w:right w:val="nil"/>
            </w:tcBorders>
            <w:shd w:val="clear" w:color="auto" w:fill="auto"/>
            <w:noWrap/>
            <w:vAlign w:val="center"/>
            <w:hideMark/>
          </w:tcPr>
          <w:p w14:paraId="77052094" w14:textId="772B92CB"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1.66</w:t>
            </w:r>
          </w:p>
        </w:tc>
        <w:tc>
          <w:tcPr>
            <w:tcW w:w="2041" w:type="dxa"/>
            <w:tcBorders>
              <w:top w:val="nil"/>
              <w:left w:val="nil"/>
              <w:bottom w:val="nil"/>
              <w:right w:val="nil"/>
            </w:tcBorders>
            <w:shd w:val="clear" w:color="auto" w:fill="auto"/>
            <w:noWrap/>
            <w:vAlign w:val="center"/>
            <w:hideMark/>
          </w:tcPr>
          <w:p w14:paraId="1ABFC1AF" w14:textId="727FB30E"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2.28</w:t>
            </w:r>
          </w:p>
        </w:tc>
        <w:tc>
          <w:tcPr>
            <w:tcW w:w="1536" w:type="dxa"/>
            <w:tcBorders>
              <w:top w:val="nil"/>
              <w:left w:val="nil"/>
              <w:bottom w:val="nil"/>
              <w:right w:val="nil"/>
            </w:tcBorders>
            <w:shd w:val="clear" w:color="auto" w:fill="auto"/>
            <w:noWrap/>
            <w:vAlign w:val="center"/>
            <w:hideMark/>
          </w:tcPr>
          <w:p w14:paraId="49760A0D" w14:textId="09E40B73"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2.01</w:t>
            </w:r>
          </w:p>
        </w:tc>
      </w:tr>
      <w:tr w:rsidR="0038727B" w:rsidRPr="00E21717" w14:paraId="55459384" w14:textId="77777777" w:rsidTr="00552EF7">
        <w:trPr>
          <w:trHeight w:val="302"/>
        </w:trPr>
        <w:tc>
          <w:tcPr>
            <w:tcW w:w="3031" w:type="dxa"/>
            <w:tcBorders>
              <w:top w:val="nil"/>
              <w:left w:val="nil"/>
              <w:bottom w:val="nil"/>
              <w:right w:val="nil"/>
            </w:tcBorders>
            <w:shd w:val="clear" w:color="auto" w:fill="auto"/>
            <w:noWrap/>
            <w:vAlign w:val="center"/>
            <w:hideMark/>
          </w:tcPr>
          <w:p w14:paraId="69A10A14"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Credit Suisse Group </w:t>
            </w:r>
          </w:p>
        </w:tc>
        <w:tc>
          <w:tcPr>
            <w:tcW w:w="1879" w:type="dxa"/>
            <w:tcBorders>
              <w:top w:val="nil"/>
              <w:left w:val="nil"/>
              <w:bottom w:val="nil"/>
              <w:right w:val="nil"/>
            </w:tcBorders>
            <w:shd w:val="clear" w:color="auto" w:fill="auto"/>
            <w:noWrap/>
            <w:vAlign w:val="center"/>
            <w:hideMark/>
          </w:tcPr>
          <w:p w14:paraId="620C95DA" w14:textId="1396F719"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1.34</w:t>
            </w:r>
          </w:p>
        </w:tc>
        <w:tc>
          <w:tcPr>
            <w:tcW w:w="2041" w:type="dxa"/>
            <w:tcBorders>
              <w:top w:val="nil"/>
              <w:left w:val="nil"/>
              <w:bottom w:val="nil"/>
              <w:right w:val="nil"/>
            </w:tcBorders>
            <w:shd w:val="clear" w:color="auto" w:fill="auto"/>
            <w:noWrap/>
            <w:vAlign w:val="center"/>
            <w:hideMark/>
          </w:tcPr>
          <w:p w14:paraId="17DDBE50" w14:textId="6863E0AA"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1.34</w:t>
            </w:r>
          </w:p>
        </w:tc>
        <w:tc>
          <w:tcPr>
            <w:tcW w:w="1536" w:type="dxa"/>
            <w:tcBorders>
              <w:top w:val="nil"/>
              <w:left w:val="nil"/>
              <w:bottom w:val="nil"/>
              <w:right w:val="nil"/>
            </w:tcBorders>
            <w:shd w:val="clear" w:color="auto" w:fill="auto"/>
            <w:noWrap/>
            <w:vAlign w:val="center"/>
            <w:hideMark/>
          </w:tcPr>
          <w:p w14:paraId="30DACF0B" w14:textId="3AECAD2D"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1.21</w:t>
            </w:r>
          </w:p>
        </w:tc>
      </w:tr>
      <w:tr w:rsidR="0038727B" w:rsidRPr="00E21717" w14:paraId="2AB26E3C" w14:textId="77777777" w:rsidTr="00552EF7">
        <w:trPr>
          <w:trHeight w:val="302"/>
        </w:trPr>
        <w:tc>
          <w:tcPr>
            <w:tcW w:w="3031" w:type="dxa"/>
            <w:tcBorders>
              <w:top w:val="nil"/>
              <w:left w:val="nil"/>
              <w:bottom w:val="nil"/>
              <w:right w:val="nil"/>
            </w:tcBorders>
            <w:shd w:val="clear" w:color="auto" w:fill="auto"/>
            <w:noWrap/>
            <w:vAlign w:val="center"/>
            <w:hideMark/>
          </w:tcPr>
          <w:p w14:paraId="69390378" w14:textId="77777777" w:rsidR="0038727B" w:rsidRPr="00E21717" w:rsidRDefault="0038727B"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Danske</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4B470E9A" w14:textId="7F973C5E"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1.32</w:t>
            </w:r>
          </w:p>
        </w:tc>
        <w:tc>
          <w:tcPr>
            <w:tcW w:w="2041" w:type="dxa"/>
            <w:tcBorders>
              <w:top w:val="nil"/>
              <w:left w:val="nil"/>
              <w:bottom w:val="nil"/>
              <w:right w:val="nil"/>
            </w:tcBorders>
            <w:shd w:val="clear" w:color="auto" w:fill="auto"/>
            <w:noWrap/>
            <w:vAlign w:val="center"/>
            <w:hideMark/>
          </w:tcPr>
          <w:p w14:paraId="0007F507" w14:textId="7DADC969"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1.44</w:t>
            </w:r>
          </w:p>
        </w:tc>
        <w:tc>
          <w:tcPr>
            <w:tcW w:w="1536" w:type="dxa"/>
            <w:tcBorders>
              <w:top w:val="nil"/>
              <w:left w:val="nil"/>
              <w:bottom w:val="nil"/>
              <w:right w:val="nil"/>
            </w:tcBorders>
            <w:shd w:val="clear" w:color="auto" w:fill="auto"/>
            <w:noWrap/>
            <w:vAlign w:val="center"/>
            <w:hideMark/>
          </w:tcPr>
          <w:p w14:paraId="4C4FC12B" w14:textId="69AB8E80"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1.19</w:t>
            </w:r>
          </w:p>
        </w:tc>
      </w:tr>
      <w:tr w:rsidR="0038727B" w:rsidRPr="00E21717" w14:paraId="5C8F6F12" w14:textId="77777777" w:rsidTr="00552EF7">
        <w:trPr>
          <w:trHeight w:val="302"/>
        </w:trPr>
        <w:tc>
          <w:tcPr>
            <w:tcW w:w="3031" w:type="dxa"/>
            <w:tcBorders>
              <w:top w:val="nil"/>
              <w:left w:val="nil"/>
              <w:bottom w:val="nil"/>
              <w:right w:val="nil"/>
            </w:tcBorders>
            <w:shd w:val="clear" w:color="auto" w:fill="auto"/>
            <w:noWrap/>
            <w:vAlign w:val="center"/>
            <w:hideMark/>
          </w:tcPr>
          <w:p w14:paraId="1A3BAC38"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Deutsche Bank </w:t>
            </w:r>
          </w:p>
        </w:tc>
        <w:tc>
          <w:tcPr>
            <w:tcW w:w="1879" w:type="dxa"/>
            <w:tcBorders>
              <w:top w:val="nil"/>
              <w:left w:val="nil"/>
              <w:bottom w:val="nil"/>
              <w:right w:val="nil"/>
            </w:tcBorders>
            <w:shd w:val="clear" w:color="auto" w:fill="auto"/>
            <w:noWrap/>
            <w:vAlign w:val="center"/>
            <w:hideMark/>
          </w:tcPr>
          <w:p w14:paraId="7E4AB190" w14:textId="12D7C184"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1.30</w:t>
            </w:r>
          </w:p>
        </w:tc>
        <w:tc>
          <w:tcPr>
            <w:tcW w:w="2041" w:type="dxa"/>
            <w:tcBorders>
              <w:top w:val="nil"/>
              <w:left w:val="nil"/>
              <w:bottom w:val="nil"/>
              <w:right w:val="nil"/>
            </w:tcBorders>
            <w:shd w:val="clear" w:color="auto" w:fill="auto"/>
            <w:noWrap/>
            <w:vAlign w:val="center"/>
            <w:hideMark/>
          </w:tcPr>
          <w:p w14:paraId="128ADD9F" w14:textId="2A7B22CF"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1.65</w:t>
            </w:r>
          </w:p>
        </w:tc>
        <w:tc>
          <w:tcPr>
            <w:tcW w:w="1536" w:type="dxa"/>
            <w:tcBorders>
              <w:top w:val="nil"/>
              <w:left w:val="nil"/>
              <w:bottom w:val="nil"/>
              <w:right w:val="nil"/>
            </w:tcBorders>
            <w:shd w:val="clear" w:color="auto" w:fill="auto"/>
            <w:noWrap/>
            <w:vAlign w:val="center"/>
            <w:hideMark/>
          </w:tcPr>
          <w:p w14:paraId="7464DD6C" w14:textId="49CB51E3"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1.43</w:t>
            </w:r>
          </w:p>
        </w:tc>
      </w:tr>
      <w:tr w:rsidR="0038727B" w:rsidRPr="00E21717" w14:paraId="6A13B81F" w14:textId="77777777" w:rsidTr="00552EF7">
        <w:trPr>
          <w:trHeight w:val="302"/>
        </w:trPr>
        <w:tc>
          <w:tcPr>
            <w:tcW w:w="3031" w:type="dxa"/>
            <w:tcBorders>
              <w:top w:val="nil"/>
              <w:left w:val="nil"/>
              <w:bottom w:val="nil"/>
              <w:right w:val="nil"/>
            </w:tcBorders>
            <w:shd w:val="clear" w:color="auto" w:fill="auto"/>
            <w:noWrap/>
            <w:vAlign w:val="center"/>
            <w:hideMark/>
          </w:tcPr>
          <w:p w14:paraId="05A4E2AE"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HSBC Holdings</w:t>
            </w:r>
          </w:p>
        </w:tc>
        <w:tc>
          <w:tcPr>
            <w:tcW w:w="1879" w:type="dxa"/>
            <w:tcBorders>
              <w:top w:val="nil"/>
              <w:left w:val="nil"/>
              <w:bottom w:val="nil"/>
              <w:right w:val="nil"/>
            </w:tcBorders>
            <w:shd w:val="clear" w:color="auto" w:fill="auto"/>
            <w:noWrap/>
            <w:vAlign w:val="center"/>
            <w:hideMark/>
          </w:tcPr>
          <w:p w14:paraId="2198D839" w14:textId="5DC1921A"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1.06</w:t>
            </w:r>
          </w:p>
        </w:tc>
        <w:tc>
          <w:tcPr>
            <w:tcW w:w="2041" w:type="dxa"/>
            <w:tcBorders>
              <w:top w:val="nil"/>
              <w:left w:val="nil"/>
              <w:bottom w:val="nil"/>
              <w:right w:val="nil"/>
            </w:tcBorders>
            <w:shd w:val="clear" w:color="auto" w:fill="auto"/>
            <w:noWrap/>
            <w:vAlign w:val="center"/>
            <w:hideMark/>
          </w:tcPr>
          <w:p w14:paraId="7FABC038" w14:textId="190EDDCA"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1.27</w:t>
            </w:r>
          </w:p>
        </w:tc>
        <w:tc>
          <w:tcPr>
            <w:tcW w:w="1536" w:type="dxa"/>
            <w:tcBorders>
              <w:top w:val="nil"/>
              <w:left w:val="nil"/>
              <w:bottom w:val="nil"/>
              <w:right w:val="nil"/>
            </w:tcBorders>
            <w:shd w:val="clear" w:color="auto" w:fill="auto"/>
            <w:noWrap/>
            <w:vAlign w:val="center"/>
            <w:hideMark/>
          </w:tcPr>
          <w:p w14:paraId="7AFA296A" w14:textId="6BB3734C"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1.26</w:t>
            </w:r>
          </w:p>
        </w:tc>
      </w:tr>
      <w:tr w:rsidR="0038727B" w:rsidRPr="00E21717" w14:paraId="3F93FB54" w14:textId="77777777" w:rsidTr="00552EF7">
        <w:trPr>
          <w:trHeight w:val="302"/>
        </w:trPr>
        <w:tc>
          <w:tcPr>
            <w:tcW w:w="3031" w:type="dxa"/>
            <w:tcBorders>
              <w:top w:val="nil"/>
              <w:left w:val="nil"/>
              <w:bottom w:val="nil"/>
              <w:right w:val="nil"/>
            </w:tcBorders>
            <w:shd w:val="clear" w:color="auto" w:fill="auto"/>
            <w:noWrap/>
            <w:vAlign w:val="center"/>
            <w:hideMark/>
          </w:tcPr>
          <w:p w14:paraId="118B7DC4"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ING Bank N.V. </w:t>
            </w:r>
          </w:p>
        </w:tc>
        <w:tc>
          <w:tcPr>
            <w:tcW w:w="1879" w:type="dxa"/>
            <w:tcBorders>
              <w:top w:val="nil"/>
              <w:left w:val="nil"/>
              <w:bottom w:val="nil"/>
              <w:right w:val="nil"/>
            </w:tcBorders>
            <w:shd w:val="clear" w:color="auto" w:fill="auto"/>
            <w:noWrap/>
            <w:vAlign w:val="center"/>
            <w:hideMark/>
          </w:tcPr>
          <w:p w14:paraId="2F648F63" w14:textId="64B9543C"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1.23</w:t>
            </w:r>
          </w:p>
        </w:tc>
        <w:tc>
          <w:tcPr>
            <w:tcW w:w="2041" w:type="dxa"/>
            <w:tcBorders>
              <w:top w:val="nil"/>
              <w:left w:val="nil"/>
              <w:bottom w:val="nil"/>
              <w:right w:val="nil"/>
            </w:tcBorders>
            <w:shd w:val="clear" w:color="auto" w:fill="auto"/>
            <w:noWrap/>
            <w:vAlign w:val="center"/>
            <w:hideMark/>
          </w:tcPr>
          <w:p w14:paraId="3FDD91DF" w14:textId="63D8C1CF"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1.69</w:t>
            </w:r>
          </w:p>
        </w:tc>
        <w:tc>
          <w:tcPr>
            <w:tcW w:w="1536" w:type="dxa"/>
            <w:tcBorders>
              <w:top w:val="nil"/>
              <w:left w:val="nil"/>
              <w:bottom w:val="nil"/>
              <w:right w:val="nil"/>
            </w:tcBorders>
            <w:shd w:val="clear" w:color="auto" w:fill="auto"/>
            <w:noWrap/>
            <w:vAlign w:val="center"/>
            <w:hideMark/>
          </w:tcPr>
          <w:p w14:paraId="3231E7BD" w14:textId="683BD9B1"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1.54</w:t>
            </w:r>
          </w:p>
        </w:tc>
      </w:tr>
      <w:tr w:rsidR="0038727B" w:rsidRPr="00E21717" w14:paraId="1D8571AF" w14:textId="77777777" w:rsidTr="00552EF7">
        <w:trPr>
          <w:trHeight w:val="302"/>
        </w:trPr>
        <w:tc>
          <w:tcPr>
            <w:tcW w:w="3031" w:type="dxa"/>
            <w:tcBorders>
              <w:top w:val="nil"/>
              <w:left w:val="nil"/>
              <w:bottom w:val="nil"/>
              <w:right w:val="nil"/>
            </w:tcBorders>
            <w:shd w:val="clear" w:color="auto" w:fill="auto"/>
            <w:noWrap/>
            <w:vAlign w:val="center"/>
            <w:hideMark/>
          </w:tcPr>
          <w:p w14:paraId="2B1D8BCD" w14:textId="77777777" w:rsidR="0038727B" w:rsidRPr="00E21717" w:rsidRDefault="0038727B"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Intesa</w:t>
            </w:r>
            <w:proofErr w:type="spellEnd"/>
            <w:r w:rsidRPr="00E21717">
              <w:rPr>
                <w:rFonts w:ascii="dcr10" w:eastAsia="Times New Roman" w:hAnsi="dcr10" w:cs="Times New Roman"/>
                <w:color w:val="000000"/>
                <w:sz w:val="18"/>
                <w:szCs w:val="18"/>
              </w:rPr>
              <w:t xml:space="preserve"> </w:t>
            </w:r>
            <w:proofErr w:type="spellStart"/>
            <w:r w:rsidRPr="00E21717">
              <w:rPr>
                <w:rFonts w:ascii="dcr10" w:eastAsia="Times New Roman" w:hAnsi="dcr10" w:cs="Times New Roman"/>
                <w:color w:val="000000"/>
                <w:sz w:val="18"/>
                <w:szCs w:val="18"/>
              </w:rPr>
              <w:t>Sanpaolo</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2788F97C" w14:textId="4856A1EA"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1.24</w:t>
            </w:r>
          </w:p>
        </w:tc>
        <w:tc>
          <w:tcPr>
            <w:tcW w:w="2041" w:type="dxa"/>
            <w:tcBorders>
              <w:top w:val="nil"/>
              <w:left w:val="nil"/>
              <w:bottom w:val="nil"/>
              <w:right w:val="nil"/>
            </w:tcBorders>
            <w:shd w:val="clear" w:color="auto" w:fill="auto"/>
            <w:noWrap/>
            <w:vAlign w:val="center"/>
            <w:hideMark/>
          </w:tcPr>
          <w:p w14:paraId="4CD7E4DC" w14:textId="67D8FC66"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1.76</w:t>
            </w:r>
          </w:p>
        </w:tc>
        <w:tc>
          <w:tcPr>
            <w:tcW w:w="1536" w:type="dxa"/>
            <w:tcBorders>
              <w:top w:val="nil"/>
              <w:left w:val="nil"/>
              <w:bottom w:val="nil"/>
              <w:right w:val="nil"/>
            </w:tcBorders>
            <w:shd w:val="clear" w:color="auto" w:fill="auto"/>
            <w:noWrap/>
            <w:vAlign w:val="center"/>
            <w:hideMark/>
          </w:tcPr>
          <w:p w14:paraId="1173AB75" w14:textId="3E4E1230"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1.78</w:t>
            </w:r>
          </w:p>
        </w:tc>
      </w:tr>
      <w:tr w:rsidR="0038727B" w:rsidRPr="00E21717" w14:paraId="6344B407" w14:textId="77777777" w:rsidTr="00552EF7">
        <w:trPr>
          <w:trHeight w:val="302"/>
        </w:trPr>
        <w:tc>
          <w:tcPr>
            <w:tcW w:w="3031" w:type="dxa"/>
            <w:tcBorders>
              <w:top w:val="nil"/>
              <w:left w:val="nil"/>
              <w:bottom w:val="nil"/>
              <w:right w:val="nil"/>
            </w:tcBorders>
            <w:shd w:val="clear" w:color="auto" w:fill="auto"/>
            <w:noWrap/>
            <w:vAlign w:val="center"/>
            <w:hideMark/>
          </w:tcPr>
          <w:p w14:paraId="236719AC"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Lloyds Banking Group </w:t>
            </w:r>
          </w:p>
        </w:tc>
        <w:tc>
          <w:tcPr>
            <w:tcW w:w="1879" w:type="dxa"/>
            <w:tcBorders>
              <w:top w:val="nil"/>
              <w:left w:val="nil"/>
              <w:bottom w:val="nil"/>
              <w:right w:val="nil"/>
            </w:tcBorders>
            <w:shd w:val="clear" w:color="auto" w:fill="auto"/>
            <w:noWrap/>
            <w:vAlign w:val="center"/>
            <w:hideMark/>
          </w:tcPr>
          <w:p w14:paraId="45509FD2" w14:textId="7ADEE2B9"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1.53</w:t>
            </w:r>
          </w:p>
        </w:tc>
        <w:tc>
          <w:tcPr>
            <w:tcW w:w="2041" w:type="dxa"/>
            <w:tcBorders>
              <w:top w:val="nil"/>
              <w:left w:val="nil"/>
              <w:bottom w:val="nil"/>
              <w:right w:val="nil"/>
            </w:tcBorders>
            <w:shd w:val="clear" w:color="auto" w:fill="auto"/>
            <w:noWrap/>
            <w:vAlign w:val="center"/>
            <w:hideMark/>
          </w:tcPr>
          <w:p w14:paraId="411007F1" w14:textId="62392937"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2.25</w:t>
            </w:r>
          </w:p>
        </w:tc>
        <w:tc>
          <w:tcPr>
            <w:tcW w:w="1536" w:type="dxa"/>
            <w:tcBorders>
              <w:top w:val="nil"/>
              <w:left w:val="nil"/>
              <w:bottom w:val="nil"/>
              <w:right w:val="nil"/>
            </w:tcBorders>
            <w:shd w:val="clear" w:color="auto" w:fill="auto"/>
            <w:noWrap/>
            <w:vAlign w:val="center"/>
            <w:hideMark/>
          </w:tcPr>
          <w:p w14:paraId="1F0D7B6C" w14:textId="69B6DE05"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1.85</w:t>
            </w:r>
          </w:p>
        </w:tc>
      </w:tr>
      <w:tr w:rsidR="0038727B" w:rsidRPr="00E21717" w14:paraId="6585F563" w14:textId="77777777" w:rsidTr="00552EF7">
        <w:trPr>
          <w:trHeight w:val="302"/>
        </w:trPr>
        <w:tc>
          <w:tcPr>
            <w:tcW w:w="3031" w:type="dxa"/>
            <w:tcBorders>
              <w:top w:val="nil"/>
              <w:left w:val="nil"/>
              <w:bottom w:val="nil"/>
              <w:right w:val="nil"/>
            </w:tcBorders>
            <w:shd w:val="clear" w:color="auto" w:fill="auto"/>
            <w:noWrap/>
            <w:vAlign w:val="center"/>
            <w:hideMark/>
          </w:tcPr>
          <w:p w14:paraId="5DBB498E"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Mitsubishi Financial Group </w:t>
            </w:r>
          </w:p>
        </w:tc>
        <w:tc>
          <w:tcPr>
            <w:tcW w:w="1879" w:type="dxa"/>
            <w:tcBorders>
              <w:top w:val="nil"/>
              <w:left w:val="nil"/>
              <w:bottom w:val="nil"/>
              <w:right w:val="nil"/>
            </w:tcBorders>
            <w:shd w:val="clear" w:color="auto" w:fill="auto"/>
            <w:noWrap/>
            <w:vAlign w:val="center"/>
            <w:hideMark/>
          </w:tcPr>
          <w:p w14:paraId="7501C4B1" w14:textId="24E45B2C"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1.50</w:t>
            </w:r>
          </w:p>
        </w:tc>
        <w:tc>
          <w:tcPr>
            <w:tcW w:w="2041" w:type="dxa"/>
            <w:tcBorders>
              <w:top w:val="nil"/>
              <w:left w:val="nil"/>
              <w:bottom w:val="nil"/>
              <w:right w:val="nil"/>
            </w:tcBorders>
            <w:shd w:val="clear" w:color="auto" w:fill="auto"/>
            <w:noWrap/>
            <w:vAlign w:val="center"/>
            <w:hideMark/>
          </w:tcPr>
          <w:p w14:paraId="5FE3C105" w14:textId="7C57769B"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1.22</w:t>
            </w:r>
          </w:p>
        </w:tc>
        <w:tc>
          <w:tcPr>
            <w:tcW w:w="1536" w:type="dxa"/>
            <w:tcBorders>
              <w:top w:val="nil"/>
              <w:left w:val="nil"/>
              <w:bottom w:val="nil"/>
              <w:right w:val="nil"/>
            </w:tcBorders>
            <w:shd w:val="clear" w:color="auto" w:fill="auto"/>
            <w:noWrap/>
            <w:vAlign w:val="center"/>
            <w:hideMark/>
          </w:tcPr>
          <w:p w14:paraId="3F70CD6F" w14:textId="1C37D450"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1.16</w:t>
            </w:r>
          </w:p>
        </w:tc>
      </w:tr>
      <w:tr w:rsidR="0038727B" w:rsidRPr="00E21717" w14:paraId="602C6D7A" w14:textId="77777777" w:rsidTr="00552EF7">
        <w:trPr>
          <w:trHeight w:val="302"/>
        </w:trPr>
        <w:tc>
          <w:tcPr>
            <w:tcW w:w="3031" w:type="dxa"/>
            <w:tcBorders>
              <w:top w:val="nil"/>
              <w:left w:val="nil"/>
              <w:bottom w:val="nil"/>
              <w:right w:val="nil"/>
            </w:tcBorders>
            <w:shd w:val="clear" w:color="auto" w:fill="auto"/>
            <w:noWrap/>
            <w:vAlign w:val="center"/>
            <w:hideMark/>
          </w:tcPr>
          <w:p w14:paraId="5F23BD8A"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Mizuho Financial Group </w:t>
            </w:r>
          </w:p>
        </w:tc>
        <w:tc>
          <w:tcPr>
            <w:tcW w:w="1879" w:type="dxa"/>
            <w:tcBorders>
              <w:top w:val="nil"/>
              <w:left w:val="nil"/>
              <w:bottom w:val="nil"/>
              <w:right w:val="nil"/>
            </w:tcBorders>
            <w:shd w:val="clear" w:color="auto" w:fill="auto"/>
            <w:noWrap/>
            <w:vAlign w:val="center"/>
            <w:hideMark/>
          </w:tcPr>
          <w:p w14:paraId="792B4A85" w14:textId="474C1286"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1.37</w:t>
            </w:r>
          </w:p>
        </w:tc>
        <w:tc>
          <w:tcPr>
            <w:tcW w:w="2041" w:type="dxa"/>
            <w:tcBorders>
              <w:top w:val="nil"/>
              <w:left w:val="nil"/>
              <w:bottom w:val="nil"/>
              <w:right w:val="nil"/>
            </w:tcBorders>
            <w:shd w:val="clear" w:color="auto" w:fill="auto"/>
            <w:noWrap/>
            <w:vAlign w:val="center"/>
            <w:hideMark/>
          </w:tcPr>
          <w:p w14:paraId="0CD6C608" w14:textId="11F4AAB1"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1.21</w:t>
            </w:r>
          </w:p>
        </w:tc>
        <w:tc>
          <w:tcPr>
            <w:tcW w:w="1536" w:type="dxa"/>
            <w:tcBorders>
              <w:top w:val="nil"/>
              <w:left w:val="nil"/>
              <w:bottom w:val="nil"/>
              <w:right w:val="nil"/>
            </w:tcBorders>
            <w:shd w:val="clear" w:color="auto" w:fill="auto"/>
            <w:noWrap/>
            <w:vAlign w:val="center"/>
            <w:hideMark/>
          </w:tcPr>
          <w:p w14:paraId="2677E22C" w14:textId="2A33B10E"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1.03</w:t>
            </w:r>
          </w:p>
        </w:tc>
      </w:tr>
      <w:tr w:rsidR="0038727B" w:rsidRPr="00E21717" w14:paraId="2FEA8263" w14:textId="77777777" w:rsidTr="00552EF7">
        <w:trPr>
          <w:trHeight w:val="302"/>
        </w:trPr>
        <w:tc>
          <w:tcPr>
            <w:tcW w:w="3031" w:type="dxa"/>
            <w:tcBorders>
              <w:top w:val="nil"/>
              <w:left w:val="nil"/>
              <w:bottom w:val="nil"/>
              <w:right w:val="nil"/>
            </w:tcBorders>
            <w:shd w:val="clear" w:color="auto" w:fill="auto"/>
            <w:noWrap/>
            <w:vAlign w:val="center"/>
            <w:hideMark/>
          </w:tcPr>
          <w:p w14:paraId="2370C3B4" w14:textId="77777777" w:rsidR="0038727B" w:rsidRPr="00E21717" w:rsidRDefault="0038727B"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Natixis</w:t>
            </w:r>
            <w:proofErr w:type="spellEnd"/>
          </w:p>
        </w:tc>
        <w:tc>
          <w:tcPr>
            <w:tcW w:w="1879" w:type="dxa"/>
            <w:tcBorders>
              <w:top w:val="nil"/>
              <w:left w:val="nil"/>
              <w:bottom w:val="nil"/>
              <w:right w:val="nil"/>
            </w:tcBorders>
            <w:shd w:val="clear" w:color="auto" w:fill="auto"/>
            <w:noWrap/>
            <w:vAlign w:val="center"/>
            <w:hideMark/>
          </w:tcPr>
          <w:p w14:paraId="381096D3" w14:textId="36B464BD" w:rsidR="0038727B" w:rsidRPr="00371459" w:rsidRDefault="006C76BA" w:rsidP="00552EF7">
            <w:pPr>
              <w:jc w:val="center"/>
              <w:rPr>
                <w:rFonts w:ascii="dcr10" w:eastAsia="Times New Roman" w:hAnsi="dcr10" w:cs="Times New Roman"/>
                <w:color w:val="000000"/>
                <w:sz w:val="18"/>
                <w:szCs w:val="18"/>
              </w:rPr>
            </w:pPr>
            <w:r>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6F76EC99" w14:textId="5C02ECE3"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2.06</w:t>
            </w:r>
          </w:p>
        </w:tc>
        <w:tc>
          <w:tcPr>
            <w:tcW w:w="1536" w:type="dxa"/>
            <w:tcBorders>
              <w:top w:val="nil"/>
              <w:left w:val="nil"/>
              <w:bottom w:val="nil"/>
              <w:right w:val="nil"/>
            </w:tcBorders>
            <w:shd w:val="clear" w:color="auto" w:fill="auto"/>
            <w:noWrap/>
            <w:vAlign w:val="center"/>
            <w:hideMark/>
          </w:tcPr>
          <w:p w14:paraId="405FA284" w14:textId="7F6BFFB1"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1.72</w:t>
            </w:r>
          </w:p>
        </w:tc>
      </w:tr>
      <w:tr w:rsidR="0038727B" w:rsidRPr="00E21717" w14:paraId="7E7AA3B4" w14:textId="77777777" w:rsidTr="00552EF7">
        <w:trPr>
          <w:trHeight w:val="282"/>
        </w:trPr>
        <w:tc>
          <w:tcPr>
            <w:tcW w:w="3031" w:type="dxa"/>
            <w:tcBorders>
              <w:top w:val="nil"/>
              <w:left w:val="nil"/>
              <w:bottom w:val="nil"/>
              <w:right w:val="nil"/>
            </w:tcBorders>
            <w:shd w:val="clear" w:color="auto" w:fill="auto"/>
            <w:noWrap/>
            <w:vAlign w:val="center"/>
            <w:hideMark/>
          </w:tcPr>
          <w:p w14:paraId="5298E109"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National Australia Bank </w:t>
            </w:r>
          </w:p>
        </w:tc>
        <w:tc>
          <w:tcPr>
            <w:tcW w:w="1879" w:type="dxa"/>
            <w:tcBorders>
              <w:top w:val="nil"/>
              <w:left w:val="nil"/>
              <w:bottom w:val="nil"/>
              <w:right w:val="nil"/>
            </w:tcBorders>
            <w:shd w:val="clear" w:color="auto" w:fill="auto"/>
            <w:noWrap/>
            <w:vAlign w:val="center"/>
            <w:hideMark/>
          </w:tcPr>
          <w:p w14:paraId="4DFE04A3" w14:textId="6A5E4446"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1.11</w:t>
            </w:r>
          </w:p>
        </w:tc>
        <w:tc>
          <w:tcPr>
            <w:tcW w:w="2041" w:type="dxa"/>
            <w:tcBorders>
              <w:top w:val="nil"/>
              <w:left w:val="nil"/>
              <w:bottom w:val="nil"/>
              <w:right w:val="nil"/>
            </w:tcBorders>
            <w:shd w:val="clear" w:color="auto" w:fill="auto"/>
            <w:noWrap/>
            <w:vAlign w:val="center"/>
            <w:hideMark/>
          </w:tcPr>
          <w:p w14:paraId="2504D069" w14:textId="6A4437E3"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1.01</w:t>
            </w:r>
          </w:p>
        </w:tc>
        <w:tc>
          <w:tcPr>
            <w:tcW w:w="1536" w:type="dxa"/>
            <w:tcBorders>
              <w:top w:val="nil"/>
              <w:left w:val="nil"/>
              <w:bottom w:val="nil"/>
              <w:right w:val="nil"/>
            </w:tcBorders>
            <w:shd w:val="clear" w:color="auto" w:fill="auto"/>
            <w:noWrap/>
            <w:vAlign w:val="center"/>
            <w:hideMark/>
          </w:tcPr>
          <w:p w14:paraId="44BC14E6" w14:textId="60485632"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1.02</w:t>
            </w:r>
          </w:p>
        </w:tc>
      </w:tr>
      <w:tr w:rsidR="0038727B" w:rsidRPr="00E21717" w14:paraId="31CCAAD8" w14:textId="77777777" w:rsidTr="00552EF7">
        <w:trPr>
          <w:trHeight w:val="302"/>
        </w:trPr>
        <w:tc>
          <w:tcPr>
            <w:tcW w:w="3031" w:type="dxa"/>
            <w:tcBorders>
              <w:top w:val="nil"/>
              <w:left w:val="nil"/>
              <w:bottom w:val="nil"/>
              <w:right w:val="nil"/>
            </w:tcBorders>
            <w:shd w:val="clear" w:color="auto" w:fill="auto"/>
            <w:noWrap/>
            <w:vAlign w:val="center"/>
            <w:hideMark/>
          </w:tcPr>
          <w:p w14:paraId="41E71CAA" w14:textId="77777777" w:rsidR="0038727B" w:rsidRPr="00E21717" w:rsidRDefault="0038727B"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Nordea</w:t>
            </w:r>
            <w:proofErr w:type="spellEnd"/>
            <w:r w:rsidRPr="00E21717">
              <w:rPr>
                <w:rFonts w:ascii="dcr10" w:eastAsia="Times New Roman" w:hAnsi="dcr10" w:cs="Times New Roman"/>
                <w:color w:val="000000"/>
                <w:sz w:val="18"/>
                <w:szCs w:val="18"/>
              </w:rPr>
              <w:t xml:space="preserve"> Bank </w:t>
            </w:r>
          </w:p>
        </w:tc>
        <w:tc>
          <w:tcPr>
            <w:tcW w:w="1879" w:type="dxa"/>
            <w:tcBorders>
              <w:top w:val="nil"/>
              <w:left w:val="nil"/>
              <w:bottom w:val="nil"/>
              <w:right w:val="nil"/>
            </w:tcBorders>
            <w:shd w:val="clear" w:color="auto" w:fill="auto"/>
            <w:noWrap/>
            <w:vAlign w:val="center"/>
            <w:hideMark/>
          </w:tcPr>
          <w:p w14:paraId="5A436B5D" w14:textId="42CFBAEF"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1.38</w:t>
            </w:r>
          </w:p>
        </w:tc>
        <w:tc>
          <w:tcPr>
            <w:tcW w:w="2041" w:type="dxa"/>
            <w:tcBorders>
              <w:top w:val="nil"/>
              <w:left w:val="nil"/>
              <w:bottom w:val="nil"/>
              <w:right w:val="nil"/>
            </w:tcBorders>
            <w:shd w:val="clear" w:color="auto" w:fill="auto"/>
            <w:noWrap/>
            <w:vAlign w:val="center"/>
            <w:hideMark/>
          </w:tcPr>
          <w:p w14:paraId="677AC52B" w14:textId="4673C90A"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1.13</w:t>
            </w:r>
          </w:p>
        </w:tc>
        <w:tc>
          <w:tcPr>
            <w:tcW w:w="1536" w:type="dxa"/>
            <w:tcBorders>
              <w:top w:val="nil"/>
              <w:left w:val="nil"/>
              <w:bottom w:val="nil"/>
              <w:right w:val="nil"/>
            </w:tcBorders>
            <w:shd w:val="clear" w:color="auto" w:fill="auto"/>
            <w:noWrap/>
            <w:vAlign w:val="center"/>
            <w:hideMark/>
          </w:tcPr>
          <w:p w14:paraId="6BEB0285" w14:textId="22516473"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1.01</w:t>
            </w:r>
          </w:p>
        </w:tc>
      </w:tr>
      <w:tr w:rsidR="0038727B" w:rsidRPr="00E21717" w14:paraId="649F6CF8" w14:textId="77777777" w:rsidTr="00552EF7">
        <w:trPr>
          <w:trHeight w:val="302"/>
        </w:trPr>
        <w:tc>
          <w:tcPr>
            <w:tcW w:w="3031" w:type="dxa"/>
            <w:tcBorders>
              <w:top w:val="nil"/>
              <w:left w:val="nil"/>
              <w:bottom w:val="nil"/>
              <w:right w:val="nil"/>
            </w:tcBorders>
            <w:shd w:val="clear" w:color="auto" w:fill="auto"/>
            <w:noWrap/>
            <w:vAlign w:val="center"/>
            <w:hideMark/>
          </w:tcPr>
          <w:p w14:paraId="13C2E422"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Bank of Nova Scotia</w:t>
            </w:r>
          </w:p>
        </w:tc>
        <w:tc>
          <w:tcPr>
            <w:tcW w:w="1879" w:type="dxa"/>
            <w:tcBorders>
              <w:top w:val="nil"/>
              <w:left w:val="nil"/>
              <w:bottom w:val="nil"/>
              <w:right w:val="nil"/>
            </w:tcBorders>
            <w:shd w:val="clear" w:color="auto" w:fill="auto"/>
            <w:noWrap/>
            <w:vAlign w:val="center"/>
            <w:hideMark/>
          </w:tcPr>
          <w:p w14:paraId="36B6A0A7" w14:textId="4E836005"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1.28</w:t>
            </w:r>
          </w:p>
        </w:tc>
        <w:tc>
          <w:tcPr>
            <w:tcW w:w="2041" w:type="dxa"/>
            <w:tcBorders>
              <w:top w:val="nil"/>
              <w:left w:val="nil"/>
              <w:bottom w:val="nil"/>
              <w:right w:val="nil"/>
            </w:tcBorders>
            <w:shd w:val="clear" w:color="auto" w:fill="auto"/>
            <w:noWrap/>
            <w:vAlign w:val="center"/>
            <w:hideMark/>
          </w:tcPr>
          <w:p w14:paraId="173DF845" w14:textId="56124005"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1.03</w:t>
            </w:r>
          </w:p>
        </w:tc>
        <w:tc>
          <w:tcPr>
            <w:tcW w:w="1536" w:type="dxa"/>
            <w:tcBorders>
              <w:top w:val="nil"/>
              <w:left w:val="nil"/>
              <w:bottom w:val="nil"/>
              <w:right w:val="nil"/>
            </w:tcBorders>
            <w:shd w:val="clear" w:color="auto" w:fill="auto"/>
            <w:noWrap/>
            <w:vAlign w:val="center"/>
            <w:hideMark/>
          </w:tcPr>
          <w:p w14:paraId="3F6A1B20" w14:textId="0D598D33"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0.88</w:t>
            </w:r>
          </w:p>
        </w:tc>
      </w:tr>
      <w:tr w:rsidR="0038727B" w:rsidRPr="00E21717" w14:paraId="36720888" w14:textId="77777777" w:rsidTr="00552EF7">
        <w:trPr>
          <w:trHeight w:val="302"/>
        </w:trPr>
        <w:tc>
          <w:tcPr>
            <w:tcW w:w="3031" w:type="dxa"/>
            <w:tcBorders>
              <w:top w:val="nil"/>
              <w:left w:val="nil"/>
              <w:bottom w:val="nil"/>
              <w:right w:val="nil"/>
            </w:tcBorders>
            <w:shd w:val="clear" w:color="auto" w:fill="auto"/>
            <w:noWrap/>
            <w:vAlign w:val="center"/>
            <w:hideMark/>
          </w:tcPr>
          <w:p w14:paraId="532457D6"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Royal Bank of Canada </w:t>
            </w:r>
          </w:p>
        </w:tc>
        <w:tc>
          <w:tcPr>
            <w:tcW w:w="1879" w:type="dxa"/>
            <w:tcBorders>
              <w:top w:val="nil"/>
              <w:left w:val="nil"/>
              <w:bottom w:val="nil"/>
              <w:right w:val="nil"/>
            </w:tcBorders>
            <w:shd w:val="clear" w:color="auto" w:fill="auto"/>
            <w:noWrap/>
            <w:vAlign w:val="center"/>
            <w:hideMark/>
          </w:tcPr>
          <w:p w14:paraId="344A7C3E" w14:textId="39F4EF9F"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1.31</w:t>
            </w:r>
          </w:p>
        </w:tc>
        <w:tc>
          <w:tcPr>
            <w:tcW w:w="2041" w:type="dxa"/>
            <w:tcBorders>
              <w:top w:val="nil"/>
              <w:left w:val="nil"/>
              <w:bottom w:val="nil"/>
              <w:right w:val="nil"/>
            </w:tcBorders>
            <w:shd w:val="clear" w:color="auto" w:fill="auto"/>
            <w:noWrap/>
            <w:vAlign w:val="center"/>
            <w:hideMark/>
          </w:tcPr>
          <w:p w14:paraId="288D25A6" w14:textId="4582A41C"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1.08</w:t>
            </w:r>
          </w:p>
        </w:tc>
        <w:tc>
          <w:tcPr>
            <w:tcW w:w="1536" w:type="dxa"/>
            <w:tcBorders>
              <w:top w:val="nil"/>
              <w:left w:val="nil"/>
              <w:bottom w:val="nil"/>
              <w:right w:val="nil"/>
            </w:tcBorders>
            <w:shd w:val="clear" w:color="auto" w:fill="auto"/>
            <w:noWrap/>
            <w:vAlign w:val="center"/>
            <w:hideMark/>
          </w:tcPr>
          <w:p w14:paraId="49EA23F3" w14:textId="42C41B35"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0.88</w:t>
            </w:r>
          </w:p>
        </w:tc>
      </w:tr>
      <w:tr w:rsidR="0038727B" w:rsidRPr="00E21717" w14:paraId="65304007" w14:textId="77777777" w:rsidTr="00552EF7">
        <w:trPr>
          <w:trHeight w:val="302"/>
        </w:trPr>
        <w:tc>
          <w:tcPr>
            <w:tcW w:w="3031" w:type="dxa"/>
            <w:tcBorders>
              <w:top w:val="nil"/>
              <w:left w:val="nil"/>
              <w:bottom w:val="nil"/>
              <w:right w:val="nil"/>
            </w:tcBorders>
            <w:shd w:val="clear" w:color="auto" w:fill="auto"/>
            <w:noWrap/>
            <w:vAlign w:val="center"/>
            <w:hideMark/>
          </w:tcPr>
          <w:p w14:paraId="4FBE086C"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Royal Bank of Scotland </w:t>
            </w:r>
          </w:p>
        </w:tc>
        <w:tc>
          <w:tcPr>
            <w:tcW w:w="1879" w:type="dxa"/>
            <w:tcBorders>
              <w:top w:val="nil"/>
              <w:left w:val="nil"/>
              <w:bottom w:val="nil"/>
              <w:right w:val="nil"/>
            </w:tcBorders>
            <w:shd w:val="clear" w:color="auto" w:fill="auto"/>
            <w:noWrap/>
            <w:vAlign w:val="center"/>
            <w:hideMark/>
          </w:tcPr>
          <w:p w14:paraId="4855E7DB" w14:textId="418984C5" w:rsidR="0038727B" w:rsidRPr="00371459" w:rsidRDefault="006C76BA" w:rsidP="00552EF7">
            <w:pPr>
              <w:jc w:val="center"/>
              <w:rPr>
                <w:rFonts w:ascii="dcr10" w:eastAsia="Times New Roman" w:hAnsi="dcr10" w:cs="Times New Roman"/>
                <w:color w:val="000000"/>
                <w:sz w:val="18"/>
                <w:szCs w:val="18"/>
              </w:rPr>
            </w:pPr>
            <w:r>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22ACA77C" w14:textId="5D4E067F"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2.65</w:t>
            </w:r>
          </w:p>
        </w:tc>
        <w:tc>
          <w:tcPr>
            <w:tcW w:w="1536" w:type="dxa"/>
            <w:tcBorders>
              <w:top w:val="nil"/>
              <w:left w:val="nil"/>
              <w:bottom w:val="nil"/>
              <w:right w:val="nil"/>
            </w:tcBorders>
            <w:shd w:val="clear" w:color="auto" w:fill="auto"/>
            <w:noWrap/>
            <w:vAlign w:val="center"/>
            <w:hideMark/>
          </w:tcPr>
          <w:p w14:paraId="54A1FB3D" w14:textId="5FA5A807"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2.68</w:t>
            </w:r>
          </w:p>
        </w:tc>
      </w:tr>
      <w:tr w:rsidR="0038727B" w:rsidRPr="00E21717" w14:paraId="5778003D" w14:textId="77777777" w:rsidTr="00552EF7">
        <w:trPr>
          <w:trHeight w:val="302"/>
        </w:trPr>
        <w:tc>
          <w:tcPr>
            <w:tcW w:w="3031" w:type="dxa"/>
            <w:tcBorders>
              <w:top w:val="nil"/>
              <w:left w:val="nil"/>
              <w:bottom w:val="nil"/>
              <w:right w:val="nil"/>
            </w:tcBorders>
            <w:shd w:val="clear" w:color="auto" w:fill="auto"/>
            <w:noWrap/>
            <w:vAlign w:val="center"/>
            <w:hideMark/>
          </w:tcPr>
          <w:p w14:paraId="071549D4" w14:textId="77777777" w:rsidR="0038727B" w:rsidRPr="00E21717" w:rsidRDefault="0038727B"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Banco</w:t>
            </w:r>
            <w:proofErr w:type="spellEnd"/>
            <w:r w:rsidRPr="00E21717">
              <w:rPr>
                <w:rFonts w:ascii="dcr10" w:eastAsia="Times New Roman" w:hAnsi="dcr10" w:cs="Times New Roman"/>
                <w:color w:val="000000"/>
                <w:sz w:val="18"/>
                <w:szCs w:val="18"/>
              </w:rPr>
              <w:t xml:space="preserve"> Santander</w:t>
            </w:r>
          </w:p>
        </w:tc>
        <w:tc>
          <w:tcPr>
            <w:tcW w:w="1879" w:type="dxa"/>
            <w:tcBorders>
              <w:top w:val="nil"/>
              <w:left w:val="nil"/>
              <w:bottom w:val="nil"/>
              <w:right w:val="nil"/>
            </w:tcBorders>
            <w:shd w:val="clear" w:color="auto" w:fill="auto"/>
            <w:noWrap/>
            <w:vAlign w:val="center"/>
            <w:hideMark/>
          </w:tcPr>
          <w:p w14:paraId="56BDF21A" w14:textId="10014475"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1.34</w:t>
            </w:r>
          </w:p>
        </w:tc>
        <w:tc>
          <w:tcPr>
            <w:tcW w:w="2041" w:type="dxa"/>
            <w:tcBorders>
              <w:top w:val="nil"/>
              <w:left w:val="nil"/>
              <w:bottom w:val="nil"/>
              <w:right w:val="nil"/>
            </w:tcBorders>
            <w:shd w:val="clear" w:color="auto" w:fill="auto"/>
            <w:noWrap/>
            <w:vAlign w:val="center"/>
            <w:hideMark/>
          </w:tcPr>
          <w:p w14:paraId="4FFDB01A" w14:textId="0CC3031C"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1.58</w:t>
            </w:r>
          </w:p>
        </w:tc>
        <w:tc>
          <w:tcPr>
            <w:tcW w:w="1536" w:type="dxa"/>
            <w:tcBorders>
              <w:top w:val="nil"/>
              <w:left w:val="nil"/>
              <w:bottom w:val="nil"/>
              <w:right w:val="nil"/>
            </w:tcBorders>
            <w:shd w:val="clear" w:color="auto" w:fill="auto"/>
            <w:noWrap/>
            <w:vAlign w:val="center"/>
            <w:hideMark/>
          </w:tcPr>
          <w:p w14:paraId="5259BB6C" w14:textId="412ACBD2"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1.43</w:t>
            </w:r>
          </w:p>
        </w:tc>
      </w:tr>
      <w:tr w:rsidR="0038727B" w:rsidRPr="00E21717" w14:paraId="3511EF45" w14:textId="77777777" w:rsidTr="00552EF7">
        <w:trPr>
          <w:trHeight w:val="302"/>
        </w:trPr>
        <w:tc>
          <w:tcPr>
            <w:tcW w:w="3031" w:type="dxa"/>
            <w:tcBorders>
              <w:top w:val="nil"/>
              <w:left w:val="nil"/>
              <w:bottom w:val="nil"/>
              <w:right w:val="nil"/>
            </w:tcBorders>
            <w:shd w:val="clear" w:color="auto" w:fill="auto"/>
            <w:noWrap/>
            <w:vAlign w:val="center"/>
            <w:hideMark/>
          </w:tcPr>
          <w:p w14:paraId="31AE147B" w14:textId="77777777" w:rsidR="0038727B" w:rsidRPr="00E21717" w:rsidRDefault="0038727B"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bCs/>
                <w:color w:val="000000"/>
                <w:sz w:val="18"/>
                <w:szCs w:val="18"/>
              </w:rPr>
              <w:t>Societe</w:t>
            </w:r>
            <w:proofErr w:type="spellEnd"/>
            <w:r w:rsidRPr="00E21717">
              <w:rPr>
                <w:rFonts w:ascii="dcr10" w:eastAsia="Times New Roman" w:hAnsi="dcr10" w:cs="Times New Roman"/>
                <w:bCs/>
                <w:color w:val="000000"/>
                <w:sz w:val="18"/>
                <w:szCs w:val="18"/>
              </w:rPr>
              <w:t xml:space="preserve"> </w:t>
            </w:r>
            <w:proofErr w:type="spellStart"/>
            <w:r w:rsidRPr="00E21717">
              <w:rPr>
                <w:rFonts w:ascii="dcr10" w:eastAsia="Times New Roman" w:hAnsi="dcr10" w:cs="Times New Roman"/>
                <w:bCs/>
                <w:color w:val="000000"/>
                <w:sz w:val="18"/>
                <w:szCs w:val="18"/>
              </w:rPr>
              <w:t>Generale</w:t>
            </w:r>
            <w:proofErr w:type="spellEnd"/>
            <w:r w:rsidRPr="00E21717">
              <w:rPr>
                <w:rFonts w:ascii="dcr10" w:eastAsia="Times New Roman" w:hAnsi="dcr10" w:cs="Times New Roman"/>
                <w:bCs/>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7E5470DF" w14:textId="2E41E06F"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1.41</w:t>
            </w:r>
          </w:p>
        </w:tc>
        <w:tc>
          <w:tcPr>
            <w:tcW w:w="2041" w:type="dxa"/>
            <w:tcBorders>
              <w:top w:val="nil"/>
              <w:left w:val="nil"/>
              <w:bottom w:val="nil"/>
              <w:right w:val="nil"/>
            </w:tcBorders>
            <w:shd w:val="clear" w:color="auto" w:fill="auto"/>
            <w:noWrap/>
            <w:vAlign w:val="center"/>
            <w:hideMark/>
          </w:tcPr>
          <w:p w14:paraId="087B1214" w14:textId="2E7B73E4"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1.93</w:t>
            </w:r>
          </w:p>
        </w:tc>
        <w:tc>
          <w:tcPr>
            <w:tcW w:w="1536" w:type="dxa"/>
            <w:tcBorders>
              <w:top w:val="nil"/>
              <w:left w:val="nil"/>
              <w:bottom w:val="nil"/>
              <w:right w:val="nil"/>
            </w:tcBorders>
            <w:shd w:val="clear" w:color="auto" w:fill="auto"/>
            <w:noWrap/>
            <w:vAlign w:val="center"/>
            <w:hideMark/>
          </w:tcPr>
          <w:p w14:paraId="74712E81" w14:textId="453A7763"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1.64</w:t>
            </w:r>
          </w:p>
        </w:tc>
      </w:tr>
      <w:tr w:rsidR="0038727B" w:rsidRPr="00E21717" w14:paraId="298BB975" w14:textId="77777777" w:rsidTr="00552EF7">
        <w:trPr>
          <w:trHeight w:val="302"/>
        </w:trPr>
        <w:tc>
          <w:tcPr>
            <w:tcW w:w="3031" w:type="dxa"/>
            <w:tcBorders>
              <w:top w:val="nil"/>
              <w:left w:val="nil"/>
              <w:bottom w:val="nil"/>
              <w:right w:val="nil"/>
            </w:tcBorders>
            <w:shd w:val="clear" w:color="auto" w:fill="auto"/>
            <w:noWrap/>
            <w:vAlign w:val="center"/>
            <w:hideMark/>
          </w:tcPr>
          <w:p w14:paraId="0C14ECD5" w14:textId="77777777" w:rsidR="0038727B" w:rsidRPr="00E21717" w:rsidRDefault="0038727B"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Standered</w:t>
            </w:r>
            <w:proofErr w:type="spellEnd"/>
            <w:r w:rsidRPr="00E21717">
              <w:rPr>
                <w:rFonts w:ascii="dcr10" w:eastAsia="Times New Roman" w:hAnsi="dcr10" w:cs="Times New Roman"/>
                <w:color w:val="000000"/>
                <w:sz w:val="18"/>
                <w:szCs w:val="18"/>
              </w:rPr>
              <w:t xml:space="preserve"> Chartered </w:t>
            </w:r>
          </w:p>
        </w:tc>
        <w:tc>
          <w:tcPr>
            <w:tcW w:w="1879" w:type="dxa"/>
            <w:tcBorders>
              <w:top w:val="nil"/>
              <w:left w:val="nil"/>
              <w:bottom w:val="nil"/>
              <w:right w:val="nil"/>
            </w:tcBorders>
            <w:shd w:val="clear" w:color="auto" w:fill="auto"/>
            <w:noWrap/>
            <w:vAlign w:val="center"/>
            <w:hideMark/>
          </w:tcPr>
          <w:p w14:paraId="19CE54CA" w14:textId="682D75BB"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1.79</w:t>
            </w:r>
          </w:p>
        </w:tc>
        <w:tc>
          <w:tcPr>
            <w:tcW w:w="2041" w:type="dxa"/>
            <w:tcBorders>
              <w:top w:val="nil"/>
              <w:left w:val="nil"/>
              <w:bottom w:val="nil"/>
              <w:right w:val="nil"/>
            </w:tcBorders>
            <w:shd w:val="clear" w:color="auto" w:fill="auto"/>
            <w:noWrap/>
            <w:vAlign w:val="center"/>
            <w:hideMark/>
          </w:tcPr>
          <w:p w14:paraId="1B977FB5" w14:textId="63684AA8"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1.60</w:t>
            </w:r>
          </w:p>
        </w:tc>
        <w:tc>
          <w:tcPr>
            <w:tcW w:w="1536" w:type="dxa"/>
            <w:tcBorders>
              <w:top w:val="nil"/>
              <w:left w:val="nil"/>
              <w:bottom w:val="nil"/>
              <w:right w:val="nil"/>
            </w:tcBorders>
            <w:shd w:val="clear" w:color="auto" w:fill="auto"/>
            <w:noWrap/>
            <w:vAlign w:val="center"/>
            <w:hideMark/>
          </w:tcPr>
          <w:p w14:paraId="1E0B10AF" w14:textId="5B840EB3"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1.78</w:t>
            </w:r>
          </w:p>
        </w:tc>
      </w:tr>
      <w:tr w:rsidR="0038727B" w:rsidRPr="00E21717" w14:paraId="197F646D" w14:textId="77777777" w:rsidTr="00552EF7">
        <w:trPr>
          <w:trHeight w:val="302"/>
        </w:trPr>
        <w:tc>
          <w:tcPr>
            <w:tcW w:w="3031" w:type="dxa"/>
            <w:tcBorders>
              <w:top w:val="nil"/>
              <w:left w:val="nil"/>
              <w:bottom w:val="nil"/>
              <w:right w:val="nil"/>
            </w:tcBorders>
            <w:shd w:val="clear" w:color="auto" w:fill="auto"/>
            <w:noWrap/>
            <w:vAlign w:val="center"/>
            <w:hideMark/>
          </w:tcPr>
          <w:p w14:paraId="70567399"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Sumitomo Mitsui Financial </w:t>
            </w:r>
          </w:p>
        </w:tc>
        <w:tc>
          <w:tcPr>
            <w:tcW w:w="1879" w:type="dxa"/>
            <w:tcBorders>
              <w:top w:val="nil"/>
              <w:left w:val="nil"/>
              <w:bottom w:val="nil"/>
              <w:right w:val="nil"/>
            </w:tcBorders>
            <w:shd w:val="clear" w:color="auto" w:fill="auto"/>
            <w:noWrap/>
            <w:vAlign w:val="center"/>
            <w:hideMark/>
          </w:tcPr>
          <w:p w14:paraId="3F9DBA54" w14:textId="33C45459"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1.65</w:t>
            </w:r>
          </w:p>
        </w:tc>
        <w:tc>
          <w:tcPr>
            <w:tcW w:w="2041" w:type="dxa"/>
            <w:tcBorders>
              <w:top w:val="nil"/>
              <w:left w:val="nil"/>
              <w:bottom w:val="nil"/>
              <w:right w:val="nil"/>
            </w:tcBorders>
            <w:shd w:val="clear" w:color="auto" w:fill="auto"/>
            <w:noWrap/>
            <w:vAlign w:val="center"/>
            <w:hideMark/>
          </w:tcPr>
          <w:p w14:paraId="21020B33" w14:textId="611E2563"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1.19</w:t>
            </w:r>
          </w:p>
        </w:tc>
        <w:tc>
          <w:tcPr>
            <w:tcW w:w="1536" w:type="dxa"/>
            <w:tcBorders>
              <w:top w:val="nil"/>
              <w:left w:val="nil"/>
              <w:bottom w:val="nil"/>
              <w:right w:val="nil"/>
            </w:tcBorders>
            <w:shd w:val="clear" w:color="auto" w:fill="auto"/>
            <w:noWrap/>
            <w:vAlign w:val="center"/>
            <w:hideMark/>
          </w:tcPr>
          <w:p w14:paraId="66745F78" w14:textId="297A756C"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1.16</w:t>
            </w:r>
          </w:p>
        </w:tc>
      </w:tr>
      <w:tr w:rsidR="0038727B" w:rsidRPr="00E21717" w14:paraId="078E28E0" w14:textId="77777777" w:rsidTr="00552EF7">
        <w:trPr>
          <w:trHeight w:val="302"/>
        </w:trPr>
        <w:tc>
          <w:tcPr>
            <w:tcW w:w="3031" w:type="dxa"/>
            <w:tcBorders>
              <w:top w:val="nil"/>
              <w:left w:val="nil"/>
              <w:bottom w:val="nil"/>
              <w:right w:val="nil"/>
            </w:tcBorders>
            <w:shd w:val="clear" w:color="auto" w:fill="auto"/>
            <w:noWrap/>
            <w:vAlign w:val="center"/>
            <w:hideMark/>
          </w:tcPr>
          <w:p w14:paraId="473C574E"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Toronto-</w:t>
            </w:r>
            <w:proofErr w:type="spellStart"/>
            <w:r w:rsidRPr="00E21717">
              <w:rPr>
                <w:rFonts w:ascii="dcr10" w:eastAsia="Times New Roman" w:hAnsi="dcr10" w:cs="Times New Roman"/>
                <w:color w:val="000000"/>
                <w:sz w:val="18"/>
                <w:szCs w:val="18"/>
              </w:rPr>
              <w:t>Dominon</w:t>
            </w:r>
            <w:proofErr w:type="spellEnd"/>
            <w:r w:rsidRPr="00E21717">
              <w:rPr>
                <w:rFonts w:ascii="dcr10" w:eastAsia="Times New Roman" w:hAnsi="dcr10" w:cs="Times New Roman"/>
                <w:color w:val="000000"/>
                <w:sz w:val="18"/>
                <w:szCs w:val="18"/>
              </w:rPr>
              <w:t xml:space="preserve"> Group </w:t>
            </w:r>
          </w:p>
        </w:tc>
        <w:tc>
          <w:tcPr>
            <w:tcW w:w="1879" w:type="dxa"/>
            <w:tcBorders>
              <w:top w:val="nil"/>
              <w:left w:val="nil"/>
              <w:bottom w:val="nil"/>
              <w:right w:val="nil"/>
            </w:tcBorders>
            <w:shd w:val="clear" w:color="auto" w:fill="auto"/>
            <w:noWrap/>
            <w:vAlign w:val="center"/>
            <w:hideMark/>
          </w:tcPr>
          <w:p w14:paraId="70EE1D88" w14:textId="1845C027"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1.18</w:t>
            </w:r>
          </w:p>
        </w:tc>
        <w:tc>
          <w:tcPr>
            <w:tcW w:w="2041" w:type="dxa"/>
            <w:tcBorders>
              <w:top w:val="nil"/>
              <w:left w:val="nil"/>
              <w:bottom w:val="nil"/>
              <w:right w:val="nil"/>
            </w:tcBorders>
            <w:shd w:val="clear" w:color="auto" w:fill="auto"/>
            <w:noWrap/>
            <w:vAlign w:val="center"/>
            <w:hideMark/>
          </w:tcPr>
          <w:p w14:paraId="79EFCE35" w14:textId="2D24D107"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0.95</w:t>
            </w:r>
          </w:p>
        </w:tc>
        <w:tc>
          <w:tcPr>
            <w:tcW w:w="1536" w:type="dxa"/>
            <w:tcBorders>
              <w:top w:val="nil"/>
              <w:left w:val="nil"/>
              <w:bottom w:val="nil"/>
              <w:right w:val="nil"/>
            </w:tcBorders>
            <w:shd w:val="clear" w:color="auto" w:fill="auto"/>
            <w:noWrap/>
            <w:vAlign w:val="center"/>
            <w:hideMark/>
          </w:tcPr>
          <w:p w14:paraId="7FC6C55B" w14:textId="067363DB"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0.88</w:t>
            </w:r>
          </w:p>
        </w:tc>
      </w:tr>
      <w:tr w:rsidR="0038727B" w:rsidRPr="00E21717" w14:paraId="39637C67" w14:textId="77777777" w:rsidTr="00552EF7">
        <w:trPr>
          <w:trHeight w:val="302"/>
        </w:trPr>
        <w:tc>
          <w:tcPr>
            <w:tcW w:w="3031" w:type="dxa"/>
            <w:tcBorders>
              <w:top w:val="nil"/>
              <w:left w:val="nil"/>
              <w:bottom w:val="nil"/>
              <w:right w:val="nil"/>
            </w:tcBorders>
            <w:shd w:val="clear" w:color="auto" w:fill="auto"/>
            <w:noWrap/>
            <w:vAlign w:val="center"/>
            <w:hideMark/>
          </w:tcPr>
          <w:p w14:paraId="73C2D3BE"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UBS Group AG </w:t>
            </w:r>
          </w:p>
        </w:tc>
        <w:tc>
          <w:tcPr>
            <w:tcW w:w="1879" w:type="dxa"/>
            <w:tcBorders>
              <w:top w:val="nil"/>
              <w:left w:val="nil"/>
              <w:bottom w:val="nil"/>
              <w:right w:val="nil"/>
            </w:tcBorders>
            <w:shd w:val="clear" w:color="auto" w:fill="auto"/>
            <w:noWrap/>
            <w:vAlign w:val="center"/>
            <w:hideMark/>
          </w:tcPr>
          <w:p w14:paraId="14420CF9" w14:textId="010A5378"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1.23</w:t>
            </w:r>
          </w:p>
        </w:tc>
        <w:tc>
          <w:tcPr>
            <w:tcW w:w="2041" w:type="dxa"/>
            <w:tcBorders>
              <w:top w:val="nil"/>
              <w:left w:val="nil"/>
              <w:bottom w:val="nil"/>
              <w:right w:val="nil"/>
            </w:tcBorders>
            <w:shd w:val="clear" w:color="auto" w:fill="auto"/>
            <w:noWrap/>
            <w:vAlign w:val="center"/>
            <w:hideMark/>
          </w:tcPr>
          <w:p w14:paraId="44F86421" w14:textId="0B288ED1"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1.29</w:t>
            </w:r>
          </w:p>
        </w:tc>
        <w:tc>
          <w:tcPr>
            <w:tcW w:w="1536" w:type="dxa"/>
            <w:tcBorders>
              <w:top w:val="nil"/>
              <w:left w:val="nil"/>
              <w:bottom w:val="nil"/>
              <w:right w:val="nil"/>
            </w:tcBorders>
            <w:shd w:val="clear" w:color="auto" w:fill="auto"/>
            <w:noWrap/>
            <w:vAlign w:val="center"/>
            <w:hideMark/>
          </w:tcPr>
          <w:p w14:paraId="08261E42" w14:textId="5BE26179"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1.22</w:t>
            </w:r>
          </w:p>
        </w:tc>
      </w:tr>
      <w:tr w:rsidR="0038727B" w:rsidRPr="00E21717" w14:paraId="51D8A0B4" w14:textId="77777777" w:rsidTr="00552EF7">
        <w:trPr>
          <w:trHeight w:val="302"/>
        </w:trPr>
        <w:tc>
          <w:tcPr>
            <w:tcW w:w="3031" w:type="dxa"/>
            <w:tcBorders>
              <w:top w:val="nil"/>
              <w:left w:val="nil"/>
              <w:bottom w:val="nil"/>
              <w:right w:val="nil"/>
            </w:tcBorders>
            <w:shd w:val="clear" w:color="auto" w:fill="auto"/>
            <w:noWrap/>
            <w:vAlign w:val="center"/>
            <w:hideMark/>
          </w:tcPr>
          <w:p w14:paraId="38A85EA0" w14:textId="77777777" w:rsidR="0038727B" w:rsidRPr="00E21717" w:rsidRDefault="0038727B"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UniCredit</w:t>
            </w:r>
            <w:proofErr w:type="spellEnd"/>
            <w:r w:rsidRPr="00E21717">
              <w:rPr>
                <w:rFonts w:ascii="dcr10" w:eastAsia="Times New Roman" w:hAnsi="dcr10" w:cs="Times New Roman"/>
                <w:color w:val="000000"/>
                <w:sz w:val="18"/>
                <w:szCs w:val="18"/>
              </w:rPr>
              <w:t xml:space="preserve"> </w:t>
            </w:r>
            <w:proofErr w:type="spellStart"/>
            <w:r w:rsidRPr="00E21717">
              <w:rPr>
                <w:rFonts w:ascii="dcr10" w:eastAsia="Times New Roman" w:hAnsi="dcr10" w:cs="Times New Roman"/>
                <w:color w:val="000000"/>
                <w:sz w:val="18"/>
                <w:szCs w:val="18"/>
              </w:rPr>
              <w:t>S.p.A</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2E42E67C" w14:textId="5F2FB21E"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1.21</w:t>
            </w:r>
          </w:p>
        </w:tc>
        <w:tc>
          <w:tcPr>
            <w:tcW w:w="2041" w:type="dxa"/>
            <w:tcBorders>
              <w:top w:val="nil"/>
              <w:left w:val="nil"/>
              <w:bottom w:val="nil"/>
              <w:right w:val="nil"/>
            </w:tcBorders>
            <w:shd w:val="clear" w:color="auto" w:fill="auto"/>
            <w:noWrap/>
            <w:vAlign w:val="center"/>
            <w:hideMark/>
          </w:tcPr>
          <w:p w14:paraId="5790EC07" w14:textId="28859017"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1.88</w:t>
            </w:r>
          </w:p>
        </w:tc>
        <w:tc>
          <w:tcPr>
            <w:tcW w:w="1536" w:type="dxa"/>
            <w:tcBorders>
              <w:top w:val="nil"/>
              <w:left w:val="nil"/>
              <w:bottom w:val="nil"/>
              <w:right w:val="nil"/>
            </w:tcBorders>
            <w:shd w:val="clear" w:color="auto" w:fill="auto"/>
            <w:noWrap/>
            <w:vAlign w:val="center"/>
            <w:hideMark/>
          </w:tcPr>
          <w:p w14:paraId="6DBB9F3C" w14:textId="34EFB170"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1.90</w:t>
            </w:r>
          </w:p>
        </w:tc>
      </w:tr>
      <w:tr w:rsidR="0038727B" w:rsidRPr="00E21717" w14:paraId="7727B0FA" w14:textId="77777777" w:rsidTr="00552EF7">
        <w:trPr>
          <w:trHeight w:val="302"/>
        </w:trPr>
        <w:tc>
          <w:tcPr>
            <w:tcW w:w="3031" w:type="dxa"/>
            <w:tcBorders>
              <w:top w:val="nil"/>
              <w:left w:val="nil"/>
              <w:bottom w:val="nil"/>
              <w:right w:val="nil"/>
            </w:tcBorders>
            <w:shd w:val="clear" w:color="auto" w:fill="auto"/>
            <w:noWrap/>
            <w:vAlign w:val="center"/>
            <w:hideMark/>
          </w:tcPr>
          <w:p w14:paraId="7E9A0668"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Westpac Banking </w:t>
            </w:r>
          </w:p>
        </w:tc>
        <w:tc>
          <w:tcPr>
            <w:tcW w:w="1879" w:type="dxa"/>
            <w:tcBorders>
              <w:top w:val="nil"/>
              <w:left w:val="nil"/>
              <w:bottom w:val="nil"/>
              <w:right w:val="nil"/>
            </w:tcBorders>
            <w:shd w:val="clear" w:color="auto" w:fill="auto"/>
            <w:noWrap/>
            <w:vAlign w:val="center"/>
            <w:hideMark/>
          </w:tcPr>
          <w:p w14:paraId="75F4CEFF" w14:textId="4743FF31"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1.10</w:t>
            </w:r>
          </w:p>
        </w:tc>
        <w:tc>
          <w:tcPr>
            <w:tcW w:w="2041" w:type="dxa"/>
            <w:tcBorders>
              <w:top w:val="nil"/>
              <w:left w:val="nil"/>
              <w:bottom w:val="nil"/>
              <w:right w:val="nil"/>
            </w:tcBorders>
            <w:shd w:val="clear" w:color="auto" w:fill="auto"/>
            <w:noWrap/>
            <w:vAlign w:val="center"/>
            <w:hideMark/>
          </w:tcPr>
          <w:p w14:paraId="4BB5F95B" w14:textId="3764BC9D"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1.05</w:t>
            </w:r>
          </w:p>
        </w:tc>
        <w:tc>
          <w:tcPr>
            <w:tcW w:w="1536" w:type="dxa"/>
            <w:tcBorders>
              <w:top w:val="nil"/>
              <w:left w:val="nil"/>
              <w:bottom w:val="nil"/>
              <w:right w:val="nil"/>
            </w:tcBorders>
            <w:shd w:val="clear" w:color="auto" w:fill="auto"/>
            <w:noWrap/>
            <w:vAlign w:val="center"/>
            <w:hideMark/>
          </w:tcPr>
          <w:p w14:paraId="1F2C077B" w14:textId="6C54C7CE" w:rsidR="0038727B" w:rsidRPr="00371459" w:rsidRDefault="0038727B" w:rsidP="00552EF7">
            <w:pPr>
              <w:jc w:val="center"/>
              <w:rPr>
                <w:rFonts w:ascii="dcr10" w:eastAsia="Times New Roman" w:hAnsi="dcr10" w:cs="Times New Roman"/>
                <w:color w:val="000000"/>
                <w:sz w:val="18"/>
                <w:szCs w:val="18"/>
              </w:rPr>
            </w:pPr>
            <w:r w:rsidRPr="0038727B">
              <w:rPr>
                <w:rFonts w:ascii="dcr10" w:eastAsia="Times New Roman" w:hAnsi="dcr10" w:cs="Times New Roman"/>
                <w:color w:val="000000"/>
                <w:sz w:val="18"/>
                <w:szCs w:val="18"/>
              </w:rPr>
              <w:t>1.00</w:t>
            </w:r>
          </w:p>
        </w:tc>
      </w:tr>
      <w:tr w:rsidR="0038727B" w:rsidRPr="00E21717" w14:paraId="5ACB0477" w14:textId="77777777" w:rsidTr="00552EF7">
        <w:trPr>
          <w:trHeight w:val="302"/>
        </w:trPr>
        <w:tc>
          <w:tcPr>
            <w:tcW w:w="3031" w:type="dxa"/>
            <w:tcBorders>
              <w:top w:val="nil"/>
              <w:left w:val="nil"/>
              <w:bottom w:val="nil"/>
              <w:right w:val="nil"/>
            </w:tcBorders>
            <w:shd w:val="clear" w:color="auto" w:fill="auto"/>
            <w:noWrap/>
            <w:vAlign w:val="center"/>
            <w:hideMark/>
          </w:tcPr>
          <w:p w14:paraId="48BD68F8" w14:textId="77777777" w:rsidR="0038727B" w:rsidRPr="00371459" w:rsidRDefault="0038727B" w:rsidP="00552EF7">
            <w:pPr>
              <w:rPr>
                <w:rFonts w:ascii="dcr10" w:eastAsia="Times New Roman" w:hAnsi="dcr10" w:cs="Times New Roman"/>
                <w:i/>
                <w:color w:val="000000"/>
                <w:sz w:val="17"/>
                <w:szCs w:val="17"/>
              </w:rPr>
            </w:pPr>
            <w:r w:rsidRPr="00371459">
              <w:rPr>
                <w:rFonts w:ascii="dcr10" w:eastAsia="Times New Roman" w:hAnsi="dcr10" w:cs="Times New Roman"/>
                <w:i/>
                <w:color w:val="000000"/>
                <w:sz w:val="18"/>
                <w:szCs w:val="18"/>
              </w:rPr>
              <w:t>Mean</w:t>
            </w:r>
          </w:p>
        </w:tc>
        <w:tc>
          <w:tcPr>
            <w:tcW w:w="1879" w:type="dxa"/>
            <w:tcBorders>
              <w:top w:val="nil"/>
              <w:left w:val="nil"/>
              <w:bottom w:val="nil"/>
              <w:right w:val="nil"/>
            </w:tcBorders>
            <w:shd w:val="clear" w:color="auto" w:fill="auto"/>
            <w:noWrap/>
            <w:vAlign w:val="center"/>
            <w:hideMark/>
          </w:tcPr>
          <w:p w14:paraId="2570DF91" w14:textId="59648961" w:rsidR="0038727B" w:rsidRPr="0038727B" w:rsidRDefault="0038727B" w:rsidP="00552EF7">
            <w:pPr>
              <w:jc w:val="center"/>
              <w:rPr>
                <w:rFonts w:ascii="dcr10" w:eastAsia="Times New Roman" w:hAnsi="dcr10" w:cs="Times New Roman"/>
                <w:i/>
                <w:color w:val="000000"/>
                <w:sz w:val="18"/>
                <w:szCs w:val="18"/>
              </w:rPr>
            </w:pPr>
            <w:r w:rsidRPr="0038727B">
              <w:rPr>
                <w:rFonts w:ascii="dcr10" w:eastAsia="Times New Roman" w:hAnsi="dcr10" w:cs="Times New Roman"/>
                <w:i/>
                <w:color w:val="000000"/>
                <w:sz w:val="18"/>
                <w:szCs w:val="18"/>
              </w:rPr>
              <w:t>1.43</w:t>
            </w:r>
          </w:p>
        </w:tc>
        <w:tc>
          <w:tcPr>
            <w:tcW w:w="2041" w:type="dxa"/>
            <w:tcBorders>
              <w:top w:val="nil"/>
              <w:left w:val="nil"/>
              <w:bottom w:val="nil"/>
              <w:right w:val="nil"/>
            </w:tcBorders>
            <w:shd w:val="clear" w:color="auto" w:fill="auto"/>
            <w:noWrap/>
            <w:vAlign w:val="center"/>
            <w:hideMark/>
          </w:tcPr>
          <w:p w14:paraId="763D7F9C" w14:textId="7C6C775B" w:rsidR="0038727B" w:rsidRPr="0038727B" w:rsidRDefault="0038727B" w:rsidP="00552EF7">
            <w:pPr>
              <w:jc w:val="center"/>
              <w:rPr>
                <w:rFonts w:ascii="dcr10" w:eastAsia="Times New Roman" w:hAnsi="dcr10" w:cs="Times New Roman"/>
                <w:i/>
                <w:color w:val="000000"/>
                <w:sz w:val="18"/>
                <w:szCs w:val="18"/>
              </w:rPr>
            </w:pPr>
            <w:r w:rsidRPr="0038727B">
              <w:rPr>
                <w:rFonts w:ascii="dcr10" w:eastAsia="Times New Roman" w:hAnsi="dcr10" w:cs="Times New Roman"/>
                <w:i/>
                <w:color w:val="000000"/>
                <w:sz w:val="18"/>
                <w:szCs w:val="18"/>
              </w:rPr>
              <w:t>1.55</w:t>
            </w:r>
          </w:p>
        </w:tc>
        <w:tc>
          <w:tcPr>
            <w:tcW w:w="1536" w:type="dxa"/>
            <w:tcBorders>
              <w:top w:val="nil"/>
              <w:left w:val="nil"/>
              <w:bottom w:val="nil"/>
              <w:right w:val="nil"/>
            </w:tcBorders>
            <w:shd w:val="clear" w:color="auto" w:fill="auto"/>
            <w:noWrap/>
            <w:vAlign w:val="center"/>
            <w:hideMark/>
          </w:tcPr>
          <w:p w14:paraId="30557DE2" w14:textId="177D4275" w:rsidR="0038727B" w:rsidRPr="0038727B" w:rsidRDefault="0038727B" w:rsidP="00552EF7">
            <w:pPr>
              <w:jc w:val="center"/>
              <w:rPr>
                <w:rFonts w:ascii="dcr10" w:eastAsia="Times New Roman" w:hAnsi="dcr10" w:cs="Times New Roman"/>
                <w:i/>
                <w:color w:val="000000"/>
                <w:sz w:val="18"/>
                <w:szCs w:val="18"/>
              </w:rPr>
            </w:pPr>
            <w:r w:rsidRPr="0038727B">
              <w:rPr>
                <w:rFonts w:ascii="dcr10" w:eastAsia="Times New Roman" w:hAnsi="dcr10" w:cs="Times New Roman"/>
                <w:i/>
                <w:color w:val="000000"/>
                <w:sz w:val="18"/>
                <w:szCs w:val="18"/>
              </w:rPr>
              <w:t>1.45</w:t>
            </w:r>
          </w:p>
        </w:tc>
      </w:tr>
      <w:tr w:rsidR="0038727B" w:rsidRPr="00E21717" w14:paraId="349D1FAC" w14:textId="77777777" w:rsidTr="00552EF7">
        <w:trPr>
          <w:trHeight w:val="302"/>
        </w:trPr>
        <w:tc>
          <w:tcPr>
            <w:tcW w:w="3031" w:type="dxa"/>
            <w:tcBorders>
              <w:top w:val="nil"/>
              <w:left w:val="nil"/>
              <w:bottom w:val="nil"/>
              <w:right w:val="nil"/>
            </w:tcBorders>
            <w:shd w:val="clear" w:color="auto" w:fill="auto"/>
            <w:noWrap/>
            <w:vAlign w:val="center"/>
            <w:hideMark/>
          </w:tcPr>
          <w:p w14:paraId="3977405E" w14:textId="77777777" w:rsidR="0038727B" w:rsidRPr="00371459" w:rsidRDefault="0038727B" w:rsidP="00552EF7">
            <w:pPr>
              <w:rPr>
                <w:rFonts w:ascii="dcr10" w:eastAsia="Times New Roman" w:hAnsi="dcr10" w:cs="Times New Roman"/>
                <w:i/>
                <w:color w:val="000000"/>
                <w:sz w:val="17"/>
                <w:szCs w:val="17"/>
              </w:rPr>
            </w:pPr>
            <w:r w:rsidRPr="00371459">
              <w:rPr>
                <w:rFonts w:ascii="dcr10" w:eastAsia="Times New Roman" w:hAnsi="dcr10" w:cs="Times New Roman"/>
                <w:bCs/>
                <w:i/>
                <w:color w:val="000000"/>
                <w:sz w:val="18"/>
                <w:szCs w:val="18"/>
              </w:rPr>
              <w:t>Median</w:t>
            </w:r>
          </w:p>
        </w:tc>
        <w:tc>
          <w:tcPr>
            <w:tcW w:w="1879" w:type="dxa"/>
            <w:tcBorders>
              <w:top w:val="nil"/>
              <w:left w:val="nil"/>
              <w:bottom w:val="nil"/>
              <w:right w:val="nil"/>
            </w:tcBorders>
            <w:shd w:val="clear" w:color="auto" w:fill="auto"/>
            <w:noWrap/>
            <w:vAlign w:val="center"/>
            <w:hideMark/>
          </w:tcPr>
          <w:p w14:paraId="2EED28A5" w14:textId="2556329A" w:rsidR="0038727B" w:rsidRPr="0038727B" w:rsidRDefault="0038727B" w:rsidP="00552EF7">
            <w:pPr>
              <w:jc w:val="center"/>
              <w:rPr>
                <w:rFonts w:ascii="dcr10" w:eastAsia="Times New Roman" w:hAnsi="dcr10" w:cs="Times New Roman"/>
                <w:i/>
                <w:color w:val="000000"/>
                <w:sz w:val="18"/>
                <w:szCs w:val="18"/>
              </w:rPr>
            </w:pPr>
            <w:r w:rsidRPr="0038727B">
              <w:rPr>
                <w:rFonts w:ascii="dcr10" w:eastAsia="Times New Roman" w:hAnsi="dcr10" w:cs="Times New Roman"/>
                <w:i/>
                <w:color w:val="000000"/>
                <w:sz w:val="18"/>
                <w:szCs w:val="18"/>
              </w:rPr>
              <w:t>1.33</w:t>
            </w:r>
          </w:p>
        </w:tc>
        <w:tc>
          <w:tcPr>
            <w:tcW w:w="2041" w:type="dxa"/>
            <w:tcBorders>
              <w:top w:val="nil"/>
              <w:left w:val="nil"/>
              <w:bottom w:val="nil"/>
              <w:right w:val="nil"/>
            </w:tcBorders>
            <w:shd w:val="clear" w:color="auto" w:fill="auto"/>
            <w:noWrap/>
            <w:vAlign w:val="center"/>
            <w:hideMark/>
          </w:tcPr>
          <w:p w14:paraId="5B3D1B41" w14:textId="7708B5ED" w:rsidR="0038727B" w:rsidRPr="0038727B" w:rsidRDefault="0038727B" w:rsidP="00552EF7">
            <w:pPr>
              <w:jc w:val="center"/>
              <w:rPr>
                <w:rFonts w:ascii="dcr10" w:eastAsia="Times New Roman" w:hAnsi="dcr10" w:cs="Times New Roman"/>
                <w:i/>
                <w:color w:val="000000"/>
                <w:sz w:val="18"/>
                <w:szCs w:val="18"/>
              </w:rPr>
            </w:pPr>
            <w:r w:rsidRPr="0038727B">
              <w:rPr>
                <w:rFonts w:ascii="dcr10" w:eastAsia="Times New Roman" w:hAnsi="dcr10" w:cs="Times New Roman"/>
                <w:i/>
                <w:color w:val="000000"/>
                <w:sz w:val="18"/>
                <w:szCs w:val="18"/>
              </w:rPr>
              <w:t>1.51</w:t>
            </w:r>
          </w:p>
        </w:tc>
        <w:tc>
          <w:tcPr>
            <w:tcW w:w="1536" w:type="dxa"/>
            <w:tcBorders>
              <w:top w:val="nil"/>
              <w:left w:val="nil"/>
              <w:bottom w:val="nil"/>
              <w:right w:val="nil"/>
            </w:tcBorders>
            <w:shd w:val="clear" w:color="auto" w:fill="auto"/>
            <w:noWrap/>
            <w:vAlign w:val="center"/>
            <w:hideMark/>
          </w:tcPr>
          <w:p w14:paraId="524B7A3C" w14:textId="1C923DE2" w:rsidR="0038727B" w:rsidRPr="0038727B" w:rsidRDefault="0038727B" w:rsidP="00552EF7">
            <w:pPr>
              <w:jc w:val="center"/>
              <w:rPr>
                <w:rFonts w:ascii="dcr10" w:eastAsia="Times New Roman" w:hAnsi="dcr10" w:cs="Times New Roman"/>
                <w:i/>
                <w:color w:val="000000"/>
                <w:sz w:val="18"/>
                <w:szCs w:val="18"/>
              </w:rPr>
            </w:pPr>
            <w:r w:rsidRPr="0038727B">
              <w:rPr>
                <w:rFonts w:ascii="dcr10" w:eastAsia="Times New Roman" w:hAnsi="dcr10" w:cs="Times New Roman"/>
                <w:i/>
                <w:color w:val="000000"/>
                <w:sz w:val="18"/>
                <w:szCs w:val="18"/>
              </w:rPr>
              <w:t>1.34</w:t>
            </w:r>
          </w:p>
        </w:tc>
      </w:tr>
      <w:tr w:rsidR="00360B61" w:rsidRPr="00E21717" w14:paraId="1018725B" w14:textId="77777777" w:rsidTr="00552EF7">
        <w:trPr>
          <w:trHeight w:val="302"/>
        </w:trPr>
        <w:tc>
          <w:tcPr>
            <w:tcW w:w="3031" w:type="dxa"/>
            <w:tcBorders>
              <w:top w:val="nil"/>
              <w:left w:val="nil"/>
              <w:bottom w:val="nil"/>
              <w:right w:val="nil"/>
            </w:tcBorders>
            <w:shd w:val="clear" w:color="auto" w:fill="auto"/>
            <w:noWrap/>
            <w:vAlign w:val="bottom"/>
            <w:hideMark/>
          </w:tcPr>
          <w:p w14:paraId="0AD4D517" w14:textId="77777777" w:rsidR="00360B61" w:rsidRPr="00E21717" w:rsidRDefault="00360B61" w:rsidP="00552EF7">
            <w:pPr>
              <w:rPr>
                <w:rFonts w:ascii="dcr10" w:eastAsia="Times New Roman" w:hAnsi="dcr10" w:cs="Times New Roman"/>
                <w:i/>
                <w:iCs/>
                <w:color w:val="000000"/>
                <w:sz w:val="17"/>
                <w:szCs w:val="17"/>
              </w:rPr>
            </w:pPr>
            <w:r w:rsidRPr="00E21717">
              <w:rPr>
                <w:rFonts w:ascii="dcr10" w:eastAsia="Times New Roman" w:hAnsi="dcr10" w:cs="Times New Roman"/>
                <w:i/>
                <w:iCs/>
                <w:color w:val="0000FF"/>
                <w:sz w:val="18"/>
                <w:szCs w:val="18"/>
              </w:rPr>
              <w:t xml:space="preserve">Big 6 </w:t>
            </w:r>
            <w:r>
              <w:rPr>
                <w:rFonts w:ascii="dcr10" w:eastAsia="Times New Roman" w:hAnsi="dcr10" w:cs="Times New Roman"/>
                <w:i/>
                <w:iCs/>
                <w:color w:val="0000FF"/>
                <w:sz w:val="18"/>
                <w:szCs w:val="18"/>
              </w:rPr>
              <w:t>Mean</w:t>
            </w:r>
            <w:r w:rsidRPr="00E21717">
              <w:rPr>
                <w:rFonts w:ascii="dcr10" w:eastAsia="Times New Roman" w:hAnsi="dcr10" w:cs="Times New Roman"/>
                <w:i/>
                <w:iCs/>
                <w:color w:val="0000FF"/>
                <w:sz w:val="18"/>
                <w:szCs w:val="18"/>
              </w:rPr>
              <w:t xml:space="preserve"> </w:t>
            </w:r>
          </w:p>
        </w:tc>
        <w:tc>
          <w:tcPr>
            <w:tcW w:w="1879" w:type="dxa"/>
            <w:tcBorders>
              <w:top w:val="nil"/>
              <w:left w:val="nil"/>
              <w:bottom w:val="nil"/>
              <w:right w:val="nil"/>
            </w:tcBorders>
            <w:shd w:val="clear" w:color="auto" w:fill="auto"/>
            <w:noWrap/>
            <w:vAlign w:val="bottom"/>
            <w:hideMark/>
          </w:tcPr>
          <w:p w14:paraId="21FF9166" w14:textId="5661965F" w:rsidR="00360B61" w:rsidRPr="00E21717" w:rsidRDefault="0038727B" w:rsidP="00552EF7">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1.58</w:t>
            </w:r>
          </w:p>
        </w:tc>
        <w:tc>
          <w:tcPr>
            <w:tcW w:w="2041" w:type="dxa"/>
            <w:tcBorders>
              <w:top w:val="nil"/>
              <w:left w:val="nil"/>
              <w:bottom w:val="nil"/>
              <w:right w:val="nil"/>
            </w:tcBorders>
            <w:shd w:val="clear" w:color="auto" w:fill="auto"/>
            <w:noWrap/>
            <w:vAlign w:val="bottom"/>
            <w:hideMark/>
          </w:tcPr>
          <w:p w14:paraId="6479B8D0" w14:textId="2C185117" w:rsidR="00360B61" w:rsidRPr="00E21717" w:rsidRDefault="0038727B" w:rsidP="00552EF7">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1.74</w:t>
            </w:r>
          </w:p>
        </w:tc>
        <w:tc>
          <w:tcPr>
            <w:tcW w:w="1536" w:type="dxa"/>
            <w:tcBorders>
              <w:top w:val="nil"/>
              <w:left w:val="nil"/>
              <w:bottom w:val="nil"/>
              <w:right w:val="nil"/>
            </w:tcBorders>
            <w:shd w:val="clear" w:color="auto" w:fill="auto"/>
            <w:noWrap/>
            <w:vAlign w:val="bottom"/>
            <w:hideMark/>
          </w:tcPr>
          <w:p w14:paraId="2CB3FDB2" w14:textId="788086BC" w:rsidR="00360B61" w:rsidRPr="00E21717" w:rsidRDefault="0038727B" w:rsidP="00552EF7">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1.48</w:t>
            </w:r>
          </w:p>
        </w:tc>
      </w:tr>
      <w:tr w:rsidR="00360B61" w:rsidRPr="00E21717" w14:paraId="7FB9D9DF" w14:textId="77777777" w:rsidTr="00552EF7">
        <w:trPr>
          <w:trHeight w:val="302"/>
        </w:trPr>
        <w:tc>
          <w:tcPr>
            <w:tcW w:w="3031" w:type="dxa"/>
            <w:tcBorders>
              <w:top w:val="nil"/>
              <w:left w:val="nil"/>
              <w:bottom w:val="nil"/>
              <w:right w:val="nil"/>
            </w:tcBorders>
            <w:shd w:val="clear" w:color="auto" w:fill="auto"/>
            <w:noWrap/>
            <w:vAlign w:val="bottom"/>
            <w:hideMark/>
          </w:tcPr>
          <w:p w14:paraId="14E7B4A0" w14:textId="77777777" w:rsidR="00360B61" w:rsidRPr="00E21717" w:rsidRDefault="00360B61" w:rsidP="00552EF7">
            <w:pPr>
              <w:rPr>
                <w:rFonts w:ascii="dcr10" w:eastAsia="Times New Roman" w:hAnsi="dcr10" w:cs="Times New Roman"/>
                <w:i/>
                <w:iCs/>
                <w:color w:val="000000"/>
                <w:sz w:val="17"/>
                <w:szCs w:val="17"/>
              </w:rPr>
            </w:pPr>
            <w:r w:rsidRPr="00E21717">
              <w:rPr>
                <w:rFonts w:ascii="dcr10" w:eastAsia="Times New Roman" w:hAnsi="dcr10" w:cs="Times New Roman"/>
                <w:i/>
                <w:iCs/>
                <w:color w:val="0000FF"/>
                <w:sz w:val="18"/>
                <w:szCs w:val="18"/>
              </w:rPr>
              <w:t xml:space="preserve">Big 6 </w:t>
            </w:r>
            <w:r>
              <w:rPr>
                <w:rFonts w:ascii="dcr10" w:eastAsia="Times New Roman" w:hAnsi="dcr10" w:cs="Times New Roman"/>
                <w:i/>
                <w:iCs/>
                <w:color w:val="0000FF"/>
                <w:sz w:val="18"/>
                <w:szCs w:val="18"/>
              </w:rPr>
              <w:t>Median</w:t>
            </w:r>
            <w:r w:rsidRPr="00E21717">
              <w:rPr>
                <w:rFonts w:ascii="dcr10" w:eastAsia="Times New Roman" w:hAnsi="dcr10" w:cs="Times New Roman"/>
                <w:i/>
                <w:iCs/>
                <w:color w:val="0000FF"/>
                <w:sz w:val="18"/>
                <w:szCs w:val="18"/>
              </w:rPr>
              <w:t xml:space="preserve"> </w:t>
            </w:r>
          </w:p>
        </w:tc>
        <w:tc>
          <w:tcPr>
            <w:tcW w:w="1879" w:type="dxa"/>
            <w:tcBorders>
              <w:top w:val="nil"/>
              <w:left w:val="nil"/>
              <w:bottom w:val="nil"/>
              <w:right w:val="nil"/>
            </w:tcBorders>
            <w:shd w:val="clear" w:color="auto" w:fill="auto"/>
            <w:noWrap/>
            <w:vAlign w:val="bottom"/>
            <w:hideMark/>
          </w:tcPr>
          <w:p w14:paraId="18090E02" w14:textId="4166F44F" w:rsidR="00360B61" w:rsidRPr="00E21717" w:rsidRDefault="0038727B" w:rsidP="00552EF7">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1.50</w:t>
            </w:r>
          </w:p>
        </w:tc>
        <w:tc>
          <w:tcPr>
            <w:tcW w:w="2041" w:type="dxa"/>
            <w:tcBorders>
              <w:top w:val="nil"/>
              <w:left w:val="nil"/>
              <w:bottom w:val="nil"/>
              <w:right w:val="nil"/>
            </w:tcBorders>
            <w:shd w:val="clear" w:color="auto" w:fill="auto"/>
            <w:noWrap/>
            <w:vAlign w:val="bottom"/>
            <w:hideMark/>
          </w:tcPr>
          <w:p w14:paraId="2E6B18D4" w14:textId="5D0446A5" w:rsidR="00360B61" w:rsidRPr="00E21717" w:rsidRDefault="0038727B" w:rsidP="00552EF7">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1.72</w:t>
            </w:r>
          </w:p>
        </w:tc>
        <w:tc>
          <w:tcPr>
            <w:tcW w:w="1536" w:type="dxa"/>
            <w:tcBorders>
              <w:top w:val="nil"/>
              <w:left w:val="nil"/>
              <w:bottom w:val="nil"/>
              <w:right w:val="nil"/>
            </w:tcBorders>
            <w:shd w:val="clear" w:color="auto" w:fill="auto"/>
            <w:noWrap/>
            <w:vAlign w:val="bottom"/>
            <w:hideMark/>
          </w:tcPr>
          <w:p w14:paraId="5DA43609" w14:textId="0EFB77AF" w:rsidR="00360B61" w:rsidRPr="00E21717" w:rsidRDefault="0038727B" w:rsidP="00552EF7">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1.47</w:t>
            </w:r>
          </w:p>
        </w:tc>
      </w:tr>
    </w:tbl>
    <w:p w14:paraId="1ED00E0A" w14:textId="77777777" w:rsidR="0038727B" w:rsidRDefault="0038727B">
      <w:r>
        <w:br w:type="page"/>
      </w:r>
    </w:p>
    <w:tbl>
      <w:tblPr>
        <w:tblpPr w:leftFromText="180" w:rightFromText="180" w:vertAnchor="page" w:horzAnchor="page" w:tblpX="1909" w:tblpY="3241"/>
        <w:tblW w:w="8487" w:type="dxa"/>
        <w:tblLook w:val="04A0" w:firstRow="1" w:lastRow="0" w:firstColumn="1" w:lastColumn="0" w:noHBand="0" w:noVBand="1"/>
      </w:tblPr>
      <w:tblGrid>
        <w:gridCol w:w="3031"/>
        <w:gridCol w:w="1879"/>
        <w:gridCol w:w="2041"/>
        <w:gridCol w:w="1536"/>
      </w:tblGrid>
      <w:tr w:rsidR="00360B61" w:rsidRPr="00E21717" w14:paraId="6904002E" w14:textId="77777777" w:rsidTr="00552EF7">
        <w:trPr>
          <w:trHeight w:val="302"/>
        </w:trPr>
        <w:tc>
          <w:tcPr>
            <w:tcW w:w="3031" w:type="dxa"/>
            <w:tcBorders>
              <w:top w:val="nil"/>
              <w:left w:val="nil"/>
              <w:bottom w:val="nil"/>
              <w:right w:val="nil"/>
            </w:tcBorders>
            <w:shd w:val="clear" w:color="auto" w:fill="auto"/>
            <w:noWrap/>
            <w:vAlign w:val="bottom"/>
          </w:tcPr>
          <w:p w14:paraId="17E841B7" w14:textId="2445A4CD" w:rsidR="00360B61" w:rsidRPr="00E21717" w:rsidRDefault="00360B61" w:rsidP="00552EF7">
            <w:pPr>
              <w:rPr>
                <w:rFonts w:ascii="dcr10" w:eastAsia="Times New Roman" w:hAnsi="dcr10" w:cs="Times New Roman"/>
                <w:i/>
                <w:iCs/>
                <w:color w:val="0000FF"/>
                <w:sz w:val="18"/>
                <w:szCs w:val="18"/>
              </w:rPr>
            </w:pPr>
          </w:p>
        </w:tc>
        <w:tc>
          <w:tcPr>
            <w:tcW w:w="1879" w:type="dxa"/>
            <w:tcBorders>
              <w:top w:val="nil"/>
              <w:left w:val="nil"/>
              <w:bottom w:val="nil"/>
              <w:right w:val="nil"/>
            </w:tcBorders>
            <w:shd w:val="clear" w:color="auto" w:fill="auto"/>
            <w:noWrap/>
            <w:vAlign w:val="bottom"/>
          </w:tcPr>
          <w:p w14:paraId="442DCD24" w14:textId="77777777" w:rsidR="00360B61" w:rsidRDefault="00360B61" w:rsidP="00552EF7">
            <w:pPr>
              <w:jc w:val="center"/>
              <w:rPr>
                <w:rFonts w:ascii="dcr10" w:eastAsia="Times New Roman" w:hAnsi="dcr10" w:cs="Times New Roman"/>
                <w:i/>
                <w:iCs/>
                <w:color w:val="0000FF"/>
                <w:sz w:val="18"/>
                <w:szCs w:val="18"/>
              </w:rPr>
            </w:pPr>
          </w:p>
        </w:tc>
        <w:tc>
          <w:tcPr>
            <w:tcW w:w="2041" w:type="dxa"/>
            <w:tcBorders>
              <w:top w:val="nil"/>
              <w:left w:val="nil"/>
              <w:bottom w:val="nil"/>
              <w:right w:val="nil"/>
            </w:tcBorders>
            <w:shd w:val="clear" w:color="auto" w:fill="auto"/>
            <w:noWrap/>
            <w:vAlign w:val="bottom"/>
          </w:tcPr>
          <w:p w14:paraId="2C23B8BE" w14:textId="77777777" w:rsidR="00360B61" w:rsidRDefault="00360B61" w:rsidP="00552EF7">
            <w:pPr>
              <w:jc w:val="center"/>
              <w:rPr>
                <w:rFonts w:ascii="dcr10" w:eastAsia="Times New Roman" w:hAnsi="dcr10" w:cs="Times New Roman"/>
                <w:i/>
                <w:iCs/>
                <w:color w:val="0000FF"/>
                <w:sz w:val="18"/>
                <w:szCs w:val="18"/>
              </w:rPr>
            </w:pPr>
          </w:p>
        </w:tc>
        <w:tc>
          <w:tcPr>
            <w:tcW w:w="1536" w:type="dxa"/>
            <w:tcBorders>
              <w:top w:val="nil"/>
              <w:left w:val="nil"/>
              <w:bottom w:val="nil"/>
              <w:right w:val="nil"/>
            </w:tcBorders>
            <w:shd w:val="clear" w:color="auto" w:fill="auto"/>
            <w:noWrap/>
            <w:vAlign w:val="bottom"/>
          </w:tcPr>
          <w:p w14:paraId="7173229E" w14:textId="77777777" w:rsidR="00360B61" w:rsidRDefault="00360B61" w:rsidP="00552EF7">
            <w:pPr>
              <w:jc w:val="center"/>
              <w:rPr>
                <w:rFonts w:ascii="dcr10" w:eastAsia="Times New Roman" w:hAnsi="dcr10" w:cs="Times New Roman"/>
                <w:i/>
                <w:iCs/>
                <w:color w:val="0000FF"/>
                <w:sz w:val="18"/>
                <w:szCs w:val="18"/>
              </w:rPr>
            </w:pPr>
          </w:p>
        </w:tc>
      </w:tr>
    </w:tbl>
    <w:p w14:paraId="3001FD2A" w14:textId="4B4D193E" w:rsidR="0038727B" w:rsidRDefault="0038727B" w:rsidP="0038727B">
      <w:pPr>
        <w:spacing w:after="120"/>
        <w:jc w:val="center"/>
        <w:rPr>
          <w:rFonts w:ascii="dcr10" w:hAnsi="dcr10"/>
        </w:rPr>
      </w:pPr>
      <w:r w:rsidRPr="00E21717">
        <w:rPr>
          <w:rFonts w:ascii="dcr10" w:hAnsi="dcr10"/>
        </w:rPr>
        <w:t xml:space="preserve">Table </w:t>
      </w:r>
      <w:r>
        <w:rPr>
          <w:rFonts w:ascii="dcr10" w:hAnsi="dcr10"/>
        </w:rPr>
        <w:t>VI</w:t>
      </w:r>
      <w:r w:rsidR="006C76BA">
        <w:rPr>
          <w:rFonts w:ascii="dcr10" w:hAnsi="dcr10"/>
        </w:rPr>
        <w:t>I</w:t>
      </w:r>
      <w:r w:rsidR="00965EC4">
        <w:rPr>
          <w:rFonts w:ascii="dcr10" w:hAnsi="dcr10"/>
        </w:rPr>
        <w:t>I</w:t>
      </w:r>
      <w:r w:rsidRPr="00E21717">
        <w:rPr>
          <w:rFonts w:ascii="dcr10" w:hAnsi="dcr10"/>
        </w:rPr>
        <w:br/>
      </w:r>
      <w:r>
        <w:rPr>
          <w:rFonts w:ascii="dcr10" w:hAnsi="dcr10"/>
        </w:rPr>
        <w:t xml:space="preserve">Implied Volatility -- Implied Market Volatility for International Banks. </w:t>
      </w:r>
    </w:p>
    <w:p w14:paraId="5759F3CC" w14:textId="0957C9BA" w:rsidR="0038727B" w:rsidRDefault="0038727B" w:rsidP="0038727B">
      <w:pPr>
        <w:jc w:val="both"/>
        <w:rPr>
          <w:rFonts w:ascii="dcr10" w:hAnsi="dcr10"/>
        </w:rPr>
      </w:pPr>
      <w:r w:rsidRPr="00E21717">
        <w:rPr>
          <w:rFonts w:ascii="dcr10" w:hAnsi="dcr10"/>
        </w:rPr>
        <w:t xml:space="preserve">This table </w:t>
      </w:r>
      <w:r w:rsidR="00F902E1">
        <w:rPr>
          <w:rFonts w:ascii="dcr10" w:hAnsi="dcr10"/>
        </w:rPr>
        <w:t>compares implied volatility to market implied volatility</w:t>
      </w:r>
      <w:r w:rsidRPr="00E21717">
        <w:rPr>
          <w:rFonts w:ascii="dcr10" w:hAnsi="dcr10"/>
        </w:rPr>
        <w:t xml:space="preserve"> for the thirty largest international financial institutions (excluding Chinese and American banks)</w:t>
      </w:r>
      <w:r>
        <w:rPr>
          <w:rFonts w:ascii="dcr10" w:hAnsi="dcr10"/>
        </w:rPr>
        <w:t xml:space="preserve"> for </w:t>
      </w:r>
      <w:proofErr w:type="gramStart"/>
      <w:r>
        <w:rPr>
          <w:rFonts w:ascii="dcr10" w:hAnsi="dcr10"/>
        </w:rPr>
        <w:t>whom</w:t>
      </w:r>
      <w:proofErr w:type="gramEnd"/>
      <w:r>
        <w:rPr>
          <w:rFonts w:ascii="dcr10" w:hAnsi="dcr10"/>
        </w:rPr>
        <w:t xml:space="preserve"> data is available</w:t>
      </w:r>
      <w:r w:rsidRPr="00E21717">
        <w:rPr>
          <w:rFonts w:ascii="dcr10" w:hAnsi="dcr10"/>
        </w:rPr>
        <w:t xml:space="preserve">. </w:t>
      </w:r>
      <w:r w:rsidR="00D90CED" w:rsidRPr="00E21717">
        <w:rPr>
          <w:rFonts w:ascii="dcr10" w:hAnsi="dcr10"/>
        </w:rPr>
        <w:t>Pre-crisis is 200</w:t>
      </w:r>
      <w:r w:rsidR="00D90CED">
        <w:rPr>
          <w:rFonts w:ascii="dcr10" w:hAnsi="dcr10"/>
        </w:rPr>
        <w:t>5</w:t>
      </w:r>
      <w:r w:rsidR="00D90CED" w:rsidRPr="00E21717">
        <w:rPr>
          <w:rFonts w:ascii="dcr10" w:hAnsi="dcr10"/>
        </w:rPr>
        <w:t>-2007</w:t>
      </w:r>
      <w:r w:rsidR="00D90CED">
        <w:rPr>
          <w:rFonts w:ascii="dcr10" w:hAnsi="dcr10"/>
        </w:rPr>
        <w:t xml:space="preserve"> </w:t>
      </w:r>
      <w:r w:rsidR="00D90CED" w:rsidRPr="00E21717">
        <w:rPr>
          <w:rFonts w:ascii="dcr10" w:hAnsi="dcr10"/>
        </w:rPr>
        <w:t>and post-crisis is 2010-2014. We also compare pre-crisis to the most recent 2014 data.</w:t>
      </w:r>
      <w:r w:rsidR="00D90CED">
        <w:rPr>
          <w:rFonts w:ascii="dcr10" w:hAnsi="dcr10"/>
        </w:rPr>
        <w:t xml:space="preserve"> Note that because Canada, Australia, and Brazil do not have implied volatility indices that go back far, we compare implied volatilities for banks in these countries to the US VIX.</w:t>
      </w:r>
    </w:p>
    <w:p w14:paraId="30EAB426" w14:textId="77777777" w:rsidR="0038727B" w:rsidRPr="00E21717" w:rsidRDefault="0038727B" w:rsidP="0038727B">
      <w:pPr>
        <w:jc w:val="both"/>
        <w:rPr>
          <w:rFonts w:ascii="dcr10" w:hAnsi="dcr10"/>
        </w:rPr>
      </w:pPr>
    </w:p>
    <w:p w14:paraId="370DE3E1" w14:textId="77777777" w:rsidR="0038727B" w:rsidRPr="00E21717" w:rsidRDefault="0038727B" w:rsidP="0038727B">
      <w:pPr>
        <w:jc w:val="both"/>
        <w:rPr>
          <w:rFonts w:ascii="dcr10" w:hAnsi="dcr10"/>
        </w:rPr>
      </w:pPr>
    </w:p>
    <w:tbl>
      <w:tblPr>
        <w:tblpPr w:leftFromText="180" w:rightFromText="180" w:vertAnchor="page" w:horzAnchor="page" w:tblpX="1909" w:tblpY="3241"/>
        <w:tblW w:w="8487" w:type="dxa"/>
        <w:tblLook w:val="04A0" w:firstRow="1" w:lastRow="0" w:firstColumn="1" w:lastColumn="0" w:noHBand="0" w:noVBand="1"/>
      </w:tblPr>
      <w:tblGrid>
        <w:gridCol w:w="3031"/>
        <w:gridCol w:w="1879"/>
        <w:gridCol w:w="2041"/>
        <w:gridCol w:w="1536"/>
      </w:tblGrid>
      <w:tr w:rsidR="0038727B" w:rsidRPr="00E21717" w14:paraId="71AEF472" w14:textId="77777777" w:rsidTr="00552EF7">
        <w:trPr>
          <w:trHeight w:val="302"/>
        </w:trPr>
        <w:tc>
          <w:tcPr>
            <w:tcW w:w="3031" w:type="dxa"/>
            <w:tcBorders>
              <w:top w:val="single" w:sz="4" w:space="0" w:color="auto"/>
              <w:left w:val="nil"/>
              <w:bottom w:val="single" w:sz="4" w:space="0" w:color="auto"/>
              <w:right w:val="nil"/>
            </w:tcBorders>
            <w:shd w:val="clear" w:color="auto" w:fill="auto"/>
            <w:noWrap/>
            <w:vAlign w:val="center"/>
            <w:hideMark/>
          </w:tcPr>
          <w:p w14:paraId="2AEC12EB" w14:textId="77777777" w:rsidR="0038727B" w:rsidRPr="00E21717" w:rsidRDefault="0038727B" w:rsidP="00552EF7">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 xml:space="preserve">Bank  </w:t>
            </w:r>
          </w:p>
        </w:tc>
        <w:tc>
          <w:tcPr>
            <w:tcW w:w="1879" w:type="dxa"/>
            <w:tcBorders>
              <w:top w:val="single" w:sz="4" w:space="0" w:color="auto"/>
              <w:left w:val="nil"/>
              <w:bottom w:val="single" w:sz="4" w:space="0" w:color="auto"/>
              <w:right w:val="nil"/>
            </w:tcBorders>
            <w:shd w:val="clear" w:color="auto" w:fill="auto"/>
            <w:noWrap/>
            <w:vAlign w:val="center"/>
            <w:hideMark/>
          </w:tcPr>
          <w:p w14:paraId="3D9E9597" w14:textId="77777777" w:rsidR="0038727B" w:rsidRPr="00E21717" w:rsidRDefault="0038727B" w:rsidP="00552EF7">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Pre-crisis average</w:t>
            </w:r>
          </w:p>
        </w:tc>
        <w:tc>
          <w:tcPr>
            <w:tcW w:w="2041" w:type="dxa"/>
            <w:tcBorders>
              <w:top w:val="single" w:sz="4" w:space="0" w:color="auto"/>
              <w:left w:val="nil"/>
              <w:bottom w:val="single" w:sz="4" w:space="0" w:color="auto"/>
              <w:right w:val="nil"/>
            </w:tcBorders>
            <w:shd w:val="clear" w:color="auto" w:fill="auto"/>
            <w:noWrap/>
            <w:vAlign w:val="center"/>
            <w:hideMark/>
          </w:tcPr>
          <w:p w14:paraId="07DDA1FE" w14:textId="77777777" w:rsidR="0038727B" w:rsidRPr="00E21717" w:rsidRDefault="0038727B" w:rsidP="00552EF7">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Post-crisis average</w:t>
            </w:r>
          </w:p>
        </w:tc>
        <w:tc>
          <w:tcPr>
            <w:tcW w:w="1536" w:type="dxa"/>
            <w:tcBorders>
              <w:top w:val="single" w:sz="4" w:space="0" w:color="auto"/>
              <w:left w:val="nil"/>
              <w:bottom w:val="single" w:sz="4" w:space="0" w:color="auto"/>
              <w:right w:val="nil"/>
            </w:tcBorders>
            <w:shd w:val="clear" w:color="auto" w:fill="auto"/>
            <w:noWrap/>
            <w:vAlign w:val="center"/>
            <w:hideMark/>
          </w:tcPr>
          <w:p w14:paraId="5C9C4279" w14:textId="77777777" w:rsidR="0038727B" w:rsidRPr="00E21717" w:rsidRDefault="0038727B" w:rsidP="00552EF7">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2014 average</w:t>
            </w:r>
          </w:p>
        </w:tc>
      </w:tr>
      <w:tr w:rsidR="0038727B" w:rsidRPr="00E21717" w14:paraId="5E4E9E8C" w14:textId="77777777" w:rsidTr="00552EF7">
        <w:trPr>
          <w:trHeight w:val="302"/>
        </w:trPr>
        <w:tc>
          <w:tcPr>
            <w:tcW w:w="3031" w:type="dxa"/>
            <w:tcBorders>
              <w:top w:val="single" w:sz="4" w:space="0" w:color="auto"/>
              <w:left w:val="nil"/>
              <w:bottom w:val="nil"/>
              <w:right w:val="nil"/>
            </w:tcBorders>
            <w:shd w:val="clear" w:color="auto" w:fill="auto"/>
            <w:noWrap/>
            <w:vAlign w:val="center"/>
            <w:hideMark/>
          </w:tcPr>
          <w:p w14:paraId="5FE4A71C"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Credit </w:t>
            </w:r>
            <w:proofErr w:type="spellStart"/>
            <w:r w:rsidRPr="00E21717">
              <w:rPr>
                <w:rFonts w:ascii="dcr10" w:eastAsia="Times New Roman" w:hAnsi="dcr10" w:cs="Times New Roman"/>
                <w:color w:val="000000"/>
                <w:sz w:val="18"/>
                <w:szCs w:val="18"/>
              </w:rPr>
              <w:t>Agricole</w:t>
            </w:r>
            <w:proofErr w:type="spellEnd"/>
            <w:r w:rsidRPr="00E21717">
              <w:rPr>
                <w:rFonts w:ascii="dcr10" w:eastAsia="Times New Roman" w:hAnsi="dcr10" w:cs="Times New Roman"/>
                <w:color w:val="000000"/>
                <w:sz w:val="18"/>
                <w:szCs w:val="18"/>
              </w:rPr>
              <w:t xml:space="preserve"> Group</w:t>
            </w:r>
          </w:p>
        </w:tc>
        <w:tc>
          <w:tcPr>
            <w:tcW w:w="1879" w:type="dxa"/>
            <w:tcBorders>
              <w:top w:val="single" w:sz="4" w:space="0" w:color="auto"/>
              <w:left w:val="nil"/>
              <w:bottom w:val="nil"/>
              <w:right w:val="nil"/>
            </w:tcBorders>
            <w:shd w:val="clear" w:color="auto" w:fill="auto"/>
            <w:noWrap/>
            <w:vAlign w:val="center"/>
            <w:hideMark/>
          </w:tcPr>
          <w:p w14:paraId="61EBB403"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7.64</w:t>
            </w:r>
          </w:p>
        </w:tc>
        <w:tc>
          <w:tcPr>
            <w:tcW w:w="2041" w:type="dxa"/>
            <w:tcBorders>
              <w:top w:val="single" w:sz="4" w:space="0" w:color="auto"/>
              <w:left w:val="nil"/>
              <w:bottom w:val="nil"/>
              <w:right w:val="nil"/>
            </w:tcBorders>
            <w:shd w:val="clear" w:color="auto" w:fill="auto"/>
            <w:noWrap/>
            <w:vAlign w:val="center"/>
            <w:hideMark/>
          </w:tcPr>
          <w:p w14:paraId="2A65C4F0"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21.34</w:t>
            </w:r>
          </w:p>
        </w:tc>
        <w:tc>
          <w:tcPr>
            <w:tcW w:w="1536" w:type="dxa"/>
            <w:tcBorders>
              <w:top w:val="single" w:sz="4" w:space="0" w:color="auto"/>
              <w:left w:val="nil"/>
              <w:bottom w:val="nil"/>
              <w:right w:val="nil"/>
            </w:tcBorders>
            <w:shd w:val="clear" w:color="auto" w:fill="auto"/>
            <w:noWrap/>
            <w:vAlign w:val="center"/>
            <w:hideMark/>
          </w:tcPr>
          <w:p w14:paraId="1D40E99B"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12.56</w:t>
            </w:r>
          </w:p>
        </w:tc>
      </w:tr>
      <w:tr w:rsidR="0038727B" w:rsidRPr="00E21717" w14:paraId="143D5D59" w14:textId="77777777" w:rsidTr="00552EF7">
        <w:trPr>
          <w:trHeight w:val="302"/>
        </w:trPr>
        <w:tc>
          <w:tcPr>
            <w:tcW w:w="3031" w:type="dxa"/>
            <w:tcBorders>
              <w:top w:val="nil"/>
              <w:left w:val="nil"/>
              <w:bottom w:val="nil"/>
              <w:right w:val="nil"/>
            </w:tcBorders>
            <w:shd w:val="clear" w:color="auto" w:fill="auto"/>
            <w:noWrap/>
            <w:vAlign w:val="center"/>
            <w:hideMark/>
          </w:tcPr>
          <w:p w14:paraId="09254664"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Australia &amp; NZ Bank</w:t>
            </w:r>
          </w:p>
        </w:tc>
        <w:tc>
          <w:tcPr>
            <w:tcW w:w="1879" w:type="dxa"/>
            <w:tcBorders>
              <w:top w:val="nil"/>
              <w:left w:val="nil"/>
              <w:bottom w:val="nil"/>
              <w:right w:val="nil"/>
            </w:tcBorders>
            <w:shd w:val="clear" w:color="auto" w:fill="auto"/>
            <w:noWrap/>
            <w:vAlign w:val="center"/>
            <w:hideMark/>
          </w:tcPr>
          <w:p w14:paraId="760A2285"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1.13</w:t>
            </w:r>
          </w:p>
        </w:tc>
        <w:tc>
          <w:tcPr>
            <w:tcW w:w="2041" w:type="dxa"/>
            <w:tcBorders>
              <w:top w:val="nil"/>
              <w:left w:val="nil"/>
              <w:bottom w:val="nil"/>
              <w:right w:val="nil"/>
            </w:tcBorders>
            <w:shd w:val="clear" w:color="auto" w:fill="auto"/>
            <w:noWrap/>
            <w:vAlign w:val="center"/>
            <w:hideMark/>
          </w:tcPr>
          <w:p w14:paraId="7DDB515B"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-0.29</w:t>
            </w:r>
          </w:p>
        </w:tc>
        <w:tc>
          <w:tcPr>
            <w:tcW w:w="1536" w:type="dxa"/>
            <w:tcBorders>
              <w:top w:val="nil"/>
              <w:left w:val="nil"/>
              <w:bottom w:val="nil"/>
              <w:right w:val="nil"/>
            </w:tcBorders>
            <w:shd w:val="clear" w:color="auto" w:fill="auto"/>
            <w:noWrap/>
            <w:vAlign w:val="center"/>
            <w:hideMark/>
          </w:tcPr>
          <w:p w14:paraId="61CD18CD"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0.14</w:t>
            </w:r>
          </w:p>
        </w:tc>
      </w:tr>
      <w:tr w:rsidR="0038727B" w:rsidRPr="00E21717" w14:paraId="4482E34E" w14:textId="77777777" w:rsidTr="00552EF7">
        <w:trPr>
          <w:trHeight w:val="302"/>
        </w:trPr>
        <w:tc>
          <w:tcPr>
            <w:tcW w:w="3031" w:type="dxa"/>
            <w:tcBorders>
              <w:top w:val="nil"/>
              <w:left w:val="nil"/>
              <w:bottom w:val="nil"/>
              <w:right w:val="nil"/>
            </w:tcBorders>
            <w:shd w:val="clear" w:color="auto" w:fill="auto"/>
            <w:noWrap/>
            <w:vAlign w:val="center"/>
            <w:hideMark/>
          </w:tcPr>
          <w:p w14:paraId="1132CFE4" w14:textId="77777777" w:rsidR="0038727B" w:rsidRPr="00E21717" w:rsidRDefault="0038727B"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Banco</w:t>
            </w:r>
            <w:proofErr w:type="spellEnd"/>
            <w:r w:rsidRPr="00E21717">
              <w:rPr>
                <w:rFonts w:ascii="dcr10" w:eastAsia="Times New Roman" w:hAnsi="dcr10" w:cs="Times New Roman"/>
                <w:color w:val="000000"/>
                <w:sz w:val="18"/>
                <w:szCs w:val="18"/>
              </w:rPr>
              <w:t xml:space="preserve"> do </w:t>
            </w:r>
            <w:proofErr w:type="spellStart"/>
            <w:r w:rsidRPr="00E21717">
              <w:rPr>
                <w:rFonts w:ascii="dcr10" w:eastAsia="Times New Roman" w:hAnsi="dcr10" w:cs="Times New Roman"/>
                <w:color w:val="000000"/>
                <w:sz w:val="18"/>
                <w:szCs w:val="18"/>
              </w:rPr>
              <w:t>Brasil</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655E05EA"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45.19</w:t>
            </w:r>
          </w:p>
        </w:tc>
        <w:tc>
          <w:tcPr>
            <w:tcW w:w="2041" w:type="dxa"/>
            <w:tcBorders>
              <w:top w:val="nil"/>
              <w:left w:val="nil"/>
              <w:bottom w:val="nil"/>
              <w:right w:val="nil"/>
            </w:tcBorders>
            <w:shd w:val="clear" w:color="auto" w:fill="auto"/>
            <w:noWrap/>
            <w:vAlign w:val="center"/>
            <w:hideMark/>
          </w:tcPr>
          <w:p w14:paraId="6315C2AA"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18.97</w:t>
            </w:r>
          </w:p>
        </w:tc>
        <w:tc>
          <w:tcPr>
            <w:tcW w:w="1536" w:type="dxa"/>
            <w:tcBorders>
              <w:top w:val="nil"/>
              <w:left w:val="nil"/>
              <w:bottom w:val="nil"/>
              <w:right w:val="nil"/>
            </w:tcBorders>
            <w:shd w:val="clear" w:color="auto" w:fill="auto"/>
            <w:noWrap/>
            <w:vAlign w:val="center"/>
            <w:hideMark/>
          </w:tcPr>
          <w:p w14:paraId="54D9D9BC"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24.58</w:t>
            </w:r>
          </w:p>
        </w:tc>
      </w:tr>
      <w:tr w:rsidR="0038727B" w:rsidRPr="00E21717" w14:paraId="684FD8FD" w14:textId="77777777" w:rsidTr="00552EF7">
        <w:trPr>
          <w:trHeight w:val="302"/>
        </w:trPr>
        <w:tc>
          <w:tcPr>
            <w:tcW w:w="3031" w:type="dxa"/>
            <w:tcBorders>
              <w:top w:val="nil"/>
              <w:left w:val="nil"/>
              <w:bottom w:val="nil"/>
              <w:right w:val="nil"/>
            </w:tcBorders>
            <w:shd w:val="clear" w:color="auto" w:fill="auto"/>
            <w:noWrap/>
            <w:vAlign w:val="center"/>
            <w:hideMark/>
          </w:tcPr>
          <w:p w14:paraId="6C56F14A"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Bank of Montreal </w:t>
            </w:r>
          </w:p>
        </w:tc>
        <w:tc>
          <w:tcPr>
            <w:tcW w:w="1879" w:type="dxa"/>
            <w:tcBorders>
              <w:top w:val="nil"/>
              <w:left w:val="nil"/>
              <w:bottom w:val="nil"/>
              <w:right w:val="nil"/>
            </w:tcBorders>
            <w:shd w:val="clear" w:color="auto" w:fill="auto"/>
            <w:noWrap/>
            <w:vAlign w:val="center"/>
            <w:hideMark/>
          </w:tcPr>
          <w:p w14:paraId="5E73886F"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1.69</w:t>
            </w:r>
          </w:p>
        </w:tc>
        <w:tc>
          <w:tcPr>
            <w:tcW w:w="2041" w:type="dxa"/>
            <w:tcBorders>
              <w:top w:val="nil"/>
              <w:left w:val="nil"/>
              <w:bottom w:val="nil"/>
              <w:right w:val="nil"/>
            </w:tcBorders>
            <w:shd w:val="clear" w:color="auto" w:fill="auto"/>
            <w:noWrap/>
            <w:vAlign w:val="center"/>
            <w:hideMark/>
          </w:tcPr>
          <w:p w14:paraId="1146018A"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-0.14</w:t>
            </w:r>
          </w:p>
        </w:tc>
        <w:tc>
          <w:tcPr>
            <w:tcW w:w="1536" w:type="dxa"/>
            <w:tcBorders>
              <w:top w:val="nil"/>
              <w:left w:val="nil"/>
              <w:bottom w:val="nil"/>
              <w:right w:val="nil"/>
            </w:tcBorders>
            <w:shd w:val="clear" w:color="auto" w:fill="auto"/>
            <w:noWrap/>
            <w:vAlign w:val="center"/>
            <w:hideMark/>
          </w:tcPr>
          <w:p w14:paraId="45B5BE3C"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-1.98</w:t>
            </w:r>
          </w:p>
        </w:tc>
      </w:tr>
      <w:tr w:rsidR="0038727B" w:rsidRPr="00E21717" w14:paraId="1515A4B6" w14:textId="77777777" w:rsidTr="00552EF7">
        <w:trPr>
          <w:trHeight w:val="302"/>
        </w:trPr>
        <w:tc>
          <w:tcPr>
            <w:tcW w:w="3031" w:type="dxa"/>
            <w:tcBorders>
              <w:top w:val="nil"/>
              <w:left w:val="nil"/>
              <w:bottom w:val="nil"/>
              <w:right w:val="nil"/>
            </w:tcBorders>
            <w:shd w:val="clear" w:color="auto" w:fill="auto"/>
            <w:noWrap/>
            <w:vAlign w:val="center"/>
            <w:hideMark/>
          </w:tcPr>
          <w:p w14:paraId="5A444FE7"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Barclays PLC</w:t>
            </w:r>
          </w:p>
        </w:tc>
        <w:tc>
          <w:tcPr>
            <w:tcW w:w="1879" w:type="dxa"/>
            <w:tcBorders>
              <w:top w:val="nil"/>
              <w:left w:val="nil"/>
              <w:bottom w:val="nil"/>
              <w:right w:val="nil"/>
            </w:tcBorders>
            <w:shd w:val="clear" w:color="auto" w:fill="auto"/>
            <w:noWrap/>
            <w:vAlign w:val="center"/>
            <w:hideMark/>
          </w:tcPr>
          <w:p w14:paraId="09BA43A3"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12.08</w:t>
            </w:r>
          </w:p>
        </w:tc>
        <w:tc>
          <w:tcPr>
            <w:tcW w:w="2041" w:type="dxa"/>
            <w:tcBorders>
              <w:top w:val="nil"/>
              <w:left w:val="nil"/>
              <w:bottom w:val="nil"/>
              <w:right w:val="nil"/>
            </w:tcBorders>
            <w:shd w:val="clear" w:color="auto" w:fill="auto"/>
            <w:noWrap/>
            <w:vAlign w:val="center"/>
            <w:hideMark/>
          </w:tcPr>
          <w:p w14:paraId="49C17B36"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21.82</w:t>
            </w:r>
          </w:p>
        </w:tc>
        <w:tc>
          <w:tcPr>
            <w:tcW w:w="1536" w:type="dxa"/>
            <w:tcBorders>
              <w:top w:val="nil"/>
              <w:left w:val="nil"/>
              <w:bottom w:val="nil"/>
              <w:right w:val="nil"/>
            </w:tcBorders>
            <w:shd w:val="clear" w:color="auto" w:fill="auto"/>
            <w:noWrap/>
            <w:vAlign w:val="center"/>
            <w:hideMark/>
          </w:tcPr>
          <w:p w14:paraId="1EA0ACE6"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12.91</w:t>
            </w:r>
          </w:p>
        </w:tc>
      </w:tr>
      <w:tr w:rsidR="0038727B" w:rsidRPr="00E21717" w14:paraId="70AC3117" w14:textId="77777777" w:rsidTr="00552EF7">
        <w:trPr>
          <w:trHeight w:val="302"/>
        </w:trPr>
        <w:tc>
          <w:tcPr>
            <w:tcW w:w="3031" w:type="dxa"/>
            <w:tcBorders>
              <w:top w:val="nil"/>
              <w:left w:val="nil"/>
              <w:bottom w:val="nil"/>
              <w:right w:val="nil"/>
            </w:tcBorders>
            <w:shd w:val="clear" w:color="auto" w:fill="auto"/>
            <w:noWrap/>
            <w:vAlign w:val="center"/>
            <w:hideMark/>
          </w:tcPr>
          <w:p w14:paraId="7A5C9395"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BNP Paribas</w:t>
            </w:r>
          </w:p>
        </w:tc>
        <w:tc>
          <w:tcPr>
            <w:tcW w:w="1879" w:type="dxa"/>
            <w:tcBorders>
              <w:top w:val="nil"/>
              <w:left w:val="nil"/>
              <w:bottom w:val="nil"/>
              <w:right w:val="nil"/>
            </w:tcBorders>
            <w:shd w:val="clear" w:color="auto" w:fill="auto"/>
            <w:noWrap/>
            <w:vAlign w:val="center"/>
            <w:hideMark/>
          </w:tcPr>
          <w:p w14:paraId="4C96C78B"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5.68</w:t>
            </w:r>
          </w:p>
        </w:tc>
        <w:tc>
          <w:tcPr>
            <w:tcW w:w="2041" w:type="dxa"/>
            <w:tcBorders>
              <w:top w:val="nil"/>
              <w:left w:val="nil"/>
              <w:bottom w:val="nil"/>
              <w:right w:val="nil"/>
            </w:tcBorders>
            <w:shd w:val="clear" w:color="auto" w:fill="auto"/>
            <w:noWrap/>
            <w:vAlign w:val="center"/>
            <w:hideMark/>
          </w:tcPr>
          <w:p w14:paraId="4F72089F"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16.67</w:t>
            </w:r>
          </w:p>
        </w:tc>
        <w:tc>
          <w:tcPr>
            <w:tcW w:w="1536" w:type="dxa"/>
            <w:tcBorders>
              <w:top w:val="nil"/>
              <w:left w:val="nil"/>
              <w:bottom w:val="nil"/>
              <w:right w:val="nil"/>
            </w:tcBorders>
            <w:shd w:val="clear" w:color="auto" w:fill="auto"/>
            <w:noWrap/>
            <w:vAlign w:val="center"/>
            <w:hideMark/>
          </w:tcPr>
          <w:p w14:paraId="64C18F88"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7.70</w:t>
            </w:r>
          </w:p>
        </w:tc>
      </w:tr>
      <w:tr w:rsidR="0038727B" w:rsidRPr="00E21717" w14:paraId="4BB8F7C6" w14:textId="77777777" w:rsidTr="00552EF7">
        <w:trPr>
          <w:trHeight w:val="302"/>
        </w:trPr>
        <w:tc>
          <w:tcPr>
            <w:tcW w:w="3031" w:type="dxa"/>
            <w:tcBorders>
              <w:top w:val="nil"/>
              <w:left w:val="nil"/>
              <w:bottom w:val="nil"/>
              <w:right w:val="nil"/>
            </w:tcBorders>
            <w:shd w:val="clear" w:color="auto" w:fill="auto"/>
            <w:noWrap/>
            <w:vAlign w:val="center"/>
            <w:hideMark/>
          </w:tcPr>
          <w:p w14:paraId="18E433A6"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Commerzbank </w:t>
            </w:r>
          </w:p>
        </w:tc>
        <w:tc>
          <w:tcPr>
            <w:tcW w:w="1879" w:type="dxa"/>
            <w:tcBorders>
              <w:top w:val="nil"/>
              <w:left w:val="nil"/>
              <w:bottom w:val="nil"/>
              <w:right w:val="nil"/>
            </w:tcBorders>
            <w:shd w:val="clear" w:color="auto" w:fill="auto"/>
            <w:noWrap/>
            <w:vAlign w:val="center"/>
            <w:hideMark/>
          </w:tcPr>
          <w:p w14:paraId="059E1730"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11.36</w:t>
            </w:r>
          </w:p>
        </w:tc>
        <w:tc>
          <w:tcPr>
            <w:tcW w:w="2041" w:type="dxa"/>
            <w:tcBorders>
              <w:top w:val="nil"/>
              <w:left w:val="nil"/>
              <w:bottom w:val="nil"/>
              <w:right w:val="nil"/>
            </w:tcBorders>
            <w:shd w:val="clear" w:color="auto" w:fill="auto"/>
            <w:noWrap/>
            <w:vAlign w:val="center"/>
            <w:hideMark/>
          </w:tcPr>
          <w:p w14:paraId="1CEC428A"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26.54</w:t>
            </w:r>
          </w:p>
        </w:tc>
        <w:tc>
          <w:tcPr>
            <w:tcW w:w="1536" w:type="dxa"/>
            <w:tcBorders>
              <w:top w:val="nil"/>
              <w:left w:val="nil"/>
              <w:bottom w:val="nil"/>
              <w:right w:val="nil"/>
            </w:tcBorders>
            <w:shd w:val="clear" w:color="auto" w:fill="auto"/>
            <w:noWrap/>
            <w:vAlign w:val="center"/>
            <w:hideMark/>
          </w:tcPr>
          <w:p w14:paraId="2EC16128"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17.21</w:t>
            </w:r>
          </w:p>
        </w:tc>
      </w:tr>
      <w:tr w:rsidR="0038727B" w:rsidRPr="00E21717" w14:paraId="532F45E9" w14:textId="77777777" w:rsidTr="00552EF7">
        <w:trPr>
          <w:trHeight w:val="302"/>
        </w:trPr>
        <w:tc>
          <w:tcPr>
            <w:tcW w:w="3031" w:type="dxa"/>
            <w:tcBorders>
              <w:top w:val="nil"/>
              <w:left w:val="nil"/>
              <w:bottom w:val="nil"/>
              <w:right w:val="nil"/>
            </w:tcBorders>
            <w:shd w:val="clear" w:color="auto" w:fill="auto"/>
            <w:noWrap/>
            <w:vAlign w:val="center"/>
            <w:hideMark/>
          </w:tcPr>
          <w:p w14:paraId="12064245"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Credit Suisse Group </w:t>
            </w:r>
          </w:p>
        </w:tc>
        <w:tc>
          <w:tcPr>
            <w:tcW w:w="1879" w:type="dxa"/>
            <w:tcBorders>
              <w:top w:val="nil"/>
              <w:left w:val="nil"/>
              <w:bottom w:val="nil"/>
              <w:right w:val="nil"/>
            </w:tcBorders>
            <w:shd w:val="clear" w:color="auto" w:fill="auto"/>
            <w:noWrap/>
            <w:vAlign w:val="center"/>
            <w:hideMark/>
          </w:tcPr>
          <w:p w14:paraId="152914A8"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5.64</w:t>
            </w:r>
          </w:p>
        </w:tc>
        <w:tc>
          <w:tcPr>
            <w:tcW w:w="2041" w:type="dxa"/>
            <w:tcBorders>
              <w:top w:val="nil"/>
              <w:left w:val="nil"/>
              <w:bottom w:val="nil"/>
              <w:right w:val="nil"/>
            </w:tcBorders>
            <w:shd w:val="clear" w:color="auto" w:fill="auto"/>
            <w:noWrap/>
            <w:vAlign w:val="center"/>
            <w:hideMark/>
          </w:tcPr>
          <w:p w14:paraId="640A1E5C"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7.89</w:t>
            </w:r>
          </w:p>
        </w:tc>
        <w:tc>
          <w:tcPr>
            <w:tcW w:w="1536" w:type="dxa"/>
            <w:tcBorders>
              <w:top w:val="nil"/>
              <w:left w:val="nil"/>
              <w:bottom w:val="nil"/>
              <w:right w:val="nil"/>
            </w:tcBorders>
            <w:shd w:val="clear" w:color="auto" w:fill="auto"/>
            <w:noWrap/>
            <w:vAlign w:val="center"/>
            <w:hideMark/>
          </w:tcPr>
          <w:p w14:paraId="733BAB80"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3.45</w:t>
            </w:r>
          </w:p>
        </w:tc>
      </w:tr>
      <w:tr w:rsidR="0038727B" w:rsidRPr="00E21717" w14:paraId="3EA4BDBF" w14:textId="77777777" w:rsidTr="00552EF7">
        <w:trPr>
          <w:trHeight w:val="302"/>
        </w:trPr>
        <w:tc>
          <w:tcPr>
            <w:tcW w:w="3031" w:type="dxa"/>
            <w:tcBorders>
              <w:top w:val="nil"/>
              <w:left w:val="nil"/>
              <w:bottom w:val="nil"/>
              <w:right w:val="nil"/>
            </w:tcBorders>
            <w:shd w:val="clear" w:color="auto" w:fill="auto"/>
            <w:noWrap/>
            <w:vAlign w:val="center"/>
            <w:hideMark/>
          </w:tcPr>
          <w:p w14:paraId="5799D196" w14:textId="77777777" w:rsidR="0038727B" w:rsidRPr="00E21717" w:rsidRDefault="0038727B"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Danske</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430A4E72"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5.21</w:t>
            </w:r>
          </w:p>
        </w:tc>
        <w:tc>
          <w:tcPr>
            <w:tcW w:w="2041" w:type="dxa"/>
            <w:tcBorders>
              <w:top w:val="nil"/>
              <w:left w:val="nil"/>
              <w:bottom w:val="nil"/>
              <w:right w:val="nil"/>
            </w:tcBorders>
            <w:shd w:val="clear" w:color="auto" w:fill="auto"/>
            <w:noWrap/>
            <w:vAlign w:val="center"/>
            <w:hideMark/>
          </w:tcPr>
          <w:p w14:paraId="7D7034EA"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10.34</w:t>
            </w:r>
          </w:p>
        </w:tc>
        <w:tc>
          <w:tcPr>
            <w:tcW w:w="1536" w:type="dxa"/>
            <w:tcBorders>
              <w:top w:val="nil"/>
              <w:left w:val="nil"/>
              <w:bottom w:val="nil"/>
              <w:right w:val="nil"/>
            </w:tcBorders>
            <w:shd w:val="clear" w:color="auto" w:fill="auto"/>
            <w:noWrap/>
            <w:vAlign w:val="center"/>
            <w:hideMark/>
          </w:tcPr>
          <w:p w14:paraId="54AAFC7A"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3.23</w:t>
            </w:r>
          </w:p>
        </w:tc>
      </w:tr>
      <w:tr w:rsidR="0038727B" w:rsidRPr="00E21717" w14:paraId="67ABA980" w14:textId="77777777" w:rsidTr="00552EF7">
        <w:trPr>
          <w:trHeight w:val="302"/>
        </w:trPr>
        <w:tc>
          <w:tcPr>
            <w:tcW w:w="3031" w:type="dxa"/>
            <w:tcBorders>
              <w:top w:val="nil"/>
              <w:left w:val="nil"/>
              <w:bottom w:val="nil"/>
              <w:right w:val="nil"/>
            </w:tcBorders>
            <w:shd w:val="clear" w:color="auto" w:fill="auto"/>
            <w:noWrap/>
            <w:vAlign w:val="center"/>
            <w:hideMark/>
          </w:tcPr>
          <w:p w14:paraId="511011AA"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Deutsche Bank </w:t>
            </w:r>
          </w:p>
        </w:tc>
        <w:tc>
          <w:tcPr>
            <w:tcW w:w="1879" w:type="dxa"/>
            <w:tcBorders>
              <w:top w:val="nil"/>
              <w:left w:val="nil"/>
              <w:bottom w:val="nil"/>
              <w:right w:val="nil"/>
            </w:tcBorders>
            <w:shd w:val="clear" w:color="auto" w:fill="auto"/>
            <w:noWrap/>
            <w:vAlign w:val="center"/>
            <w:hideMark/>
          </w:tcPr>
          <w:p w14:paraId="70829952"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5.34</w:t>
            </w:r>
          </w:p>
        </w:tc>
        <w:tc>
          <w:tcPr>
            <w:tcW w:w="2041" w:type="dxa"/>
            <w:tcBorders>
              <w:top w:val="nil"/>
              <w:left w:val="nil"/>
              <w:bottom w:val="nil"/>
              <w:right w:val="nil"/>
            </w:tcBorders>
            <w:shd w:val="clear" w:color="auto" w:fill="auto"/>
            <w:noWrap/>
            <w:vAlign w:val="center"/>
            <w:hideMark/>
          </w:tcPr>
          <w:p w14:paraId="5D40D493"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13.96</w:t>
            </w:r>
          </w:p>
        </w:tc>
        <w:tc>
          <w:tcPr>
            <w:tcW w:w="1536" w:type="dxa"/>
            <w:tcBorders>
              <w:top w:val="nil"/>
              <w:left w:val="nil"/>
              <w:bottom w:val="nil"/>
              <w:right w:val="nil"/>
            </w:tcBorders>
            <w:shd w:val="clear" w:color="auto" w:fill="auto"/>
            <w:noWrap/>
            <w:vAlign w:val="center"/>
            <w:hideMark/>
          </w:tcPr>
          <w:p w14:paraId="1B27F9ED"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7.44</w:t>
            </w:r>
          </w:p>
        </w:tc>
      </w:tr>
      <w:tr w:rsidR="0038727B" w:rsidRPr="00E21717" w14:paraId="7092D5CC" w14:textId="77777777" w:rsidTr="00552EF7">
        <w:trPr>
          <w:trHeight w:val="302"/>
        </w:trPr>
        <w:tc>
          <w:tcPr>
            <w:tcW w:w="3031" w:type="dxa"/>
            <w:tcBorders>
              <w:top w:val="nil"/>
              <w:left w:val="nil"/>
              <w:bottom w:val="nil"/>
              <w:right w:val="nil"/>
            </w:tcBorders>
            <w:shd w:val="clear" w:color="auto" w:fill="auto"/>
            <w:noWrap/>
            <w:vAlign w:val="center"/>
            <w:hideMark/>
          </w:tcPr>
          <w:p w14:paraId="3F927A60"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HSBC Holdings</w:t>
            </w:r>
          </w:p>
        </w:tc>
        <w:tc>
          <w:tcPr>
            <w:tcW w:w="1879" w:type="dxa"/>
            <w:tcBorders>
              <w:top w:val="nil"/>
              <w:left w:val="nil"/>
              <w:bottom w:val="nil"/>
              <w:right w:val="nil"/>
            </w:tcBorders>
            <w:shd w:val="clear" w:color="auto" w:fill="auto"/>
            <w:noWrap/>
            <w:vAlign w:val="center"/>
            <w:hideMark/>
          </w:tcPr>
          <w:p w14:paraId="716D9DC6"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0.92</w:t>
            </w:r>
          </w:p>
        </w:tc>
        <w:tc>
          <w:tcPr>
            <w:tcW w:w="2041" w:type="dxa"/>
            <w:tcBorders>
              <w:top w:val="nil"/>
              <w:left w:val="nil"/>
              <w:bottom w:val="nil"/>
              <w:right w:val="nil"/>
            </w:tcBorders>
            <w:shd w:val="clear" w:color="auto" w:fill="auto"/>
            <w:noWrap/>
            <w:vAlign w:val="center"/>
            <w:hideMark/>
          </w:tcPr>
          <w:p w14:paraId="154A9A29"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4.36</w:t>
            </w:r>
          </w:p>
        </w:tc>
        <w:tc>
          <w:tcPr>
            <w:tcW w:w="1536" w:type="dxa"/>
            <w:tcBorders>
              <w:top w:val="nil"/>
              <w:left w:val="nil"/>
              <w:bottom w:val="nil"/>
              <w:right w:val="nil"/>
            </w:tcBorders>
            <w:shd w:val="clear" w:color="auto" w:fill="auto"/>
            <w:noWrap/>
            <w:vAlign w:val="center"/>
            <w:hideMark/>
          </w:tcPr>
          <w:p w14:paraId="6A08D9A7"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3.33</w:t>
            </w:r>
          </w:p>
        </w:tc>
      </w:tr>
      <w:tr w:rsidR="0038727B" w:rsidRPr="00E21717" w14:paraId="1A4C6B3D" w14:textId="77777777" w:rsidTr="00552EF7">
        <w:trPr>
          <w:trHeight w:val="302"/>
        </w:trPr>
        <w:tc>
          <w:tcPr>
            <w:tcW w:w="3031" w:type="dxa"/>
            <w:tcBorders>
              <w:top w:val="nil"/>
              <w:left w:val="nil"/>
              <w:bottom w:val="nil"/>
              <w:right w:val="nil"/>
            </w:tcBorders>
            <w:shd w:val="clear" w:color="auto" w:fill="auto"/>
            <w:noWrap/>
            <w:vAlign w:val="center"/>
            <w:hideMark/>
          </w:tcPr>
          <w:p w14:paraId="4C20F629"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ING Bank N.V. </w:t>
            </w:r>
          </w:p>
        </w:tc>
        <w:tc>
          <w:tcPr>
            <w:tcW w:w="1879" w:type="dxa"/>
            <w:tcBorders>
              <w:top w:val="nil"/>
              <w:left w:val="nil"/>
              <w:bottom w:val="nil"/>
              <w:right w:val="nil"/>
            </w:tcBorders>
            <w:shd w:val="clear" w:color="auto" w:fill="auto"/>
            <w:noWrap/>
            <w:vAlign w:val="center"/>
            <w:hideMark/>
          </w:tcPr>
          <w:p w14:paraId="279050E6"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3.81</w:t>
            </w:r>
          </w:p>
        </w:tc>
        <w:tc>
          <w:tcPr>
            <w:tcW w:w="2041" w:type="dxa"/>
            <w:tcBorders>
              <w:top w:val="nil"/>
              <w:left w:val="nil"/>
              <w:bottom w:val="nil"/>
              <w:right w:val="nil"/>
            </w:tcBorders>
            <w:shd w:val="clear" w:color="auto" w:fill="auto"/>
            <w:noWrap/>
            <w:vAlign w:val="center"/>
            <w:hideMark/>
          </w:tcPr>
          <w:p w14:paraId="667C3E66"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16.71</w:t>
            </w:r>
          </w:p>
        </w:tc>
        <w:tc>
          <w:tcPr>
            <w:tcW w:w="1536" w:type="dxa"/>
            <w:tcBorders>
              <w:top w:val="nil"/>
              <w:left w:val="nil"/>
              <w:bottom w:val="nil"/>
              <w:right w:val="nil"/>
            </w:tcBorders>
            <w:shd w:val="clear" w:color="auto" w:fill="auto"/>
            <w:noWrap/>
            <w:vAlign w:val="center"/>
            <w:hideMark/>
          </w:tcPr>
          <w:p w14:paraId="4772CDC2"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9.81</w:t>
            </w:r>
          </w:p>
        </w:tc>
      </w:tr>
      <w:tr w:rsidR="0038727B" w:rsidRPr="00E21717" w14:paraId="17D31EB7" w14:textId="77777777" w:rsidTr="00552EF7">
        <w:trPr>
          <w:trHeight w:val="302"/>
        </w:trPr>
        <w:tc>
          <w:tcPr>
            <w:tcW w:w="3031" w:type="dxa"/>
            <w:tcBorders>
              <w:top w:val="nil"/>
              <w:left w:val="nil"/>
              <w:bottom w:val="nil"/>
              <w:right w:val="nil"/>
            </w:tcBorders>
            <w:shd w:val="clear" w:color="auto" w:fill="auto"/>
            <w:noWrap/>
            <w:vAlign w:val="center"/>
            <w:hideMark/>
          </w:tcPr>
          <w:p w14:paraId="00BABBE3" w14:textId="77777777" w:rsidR="0038727B" w:rsidRPr="00E21717" w:rsidRDefault="0038727B"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Intesa</w:t>
            </w:r>
            <w:proofErr w:type="spellEnd"/>
            <w:r w:rsidRPr="00E21717">
              <w:rPr>
                <w:rFonts w:ascii="dcr10" w:eastAsia="Times New Roman" w:hAnsi="dcr10" w:cs="Times New Roman"/>
                <w:color w:val="000000"/>
                <w:sz w:val="18"/>
                <w:szCs w:val="18"/>
              </w:rPr>
              <w:t xml:space="preserve"> </w:t>
            </w:r>
            <w:proofErr w:type="spellStart"/>
            <w:r w:rsidRPr="00E21717">
              <w:rPr>
                <w:rFonts w:ascii="dcr10" w:eastAsia="Times New Roman" w:hAnsi="dcr10" w:cs="Times New Roman"/>
                <w:color w:val="000000"/>
                <w:sz w:val="18"/>
                <w:szCs w:val="18"/>
              </w:rPr>
              <w:t>Sanpaolo</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16C693D6"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3.59</w:t>
            </w:r>
          </w:p>
        </w:tc>
        <w:tc>
          <w:tcPr>
            <w:tcW w:w="2041" w:type="dxa"/>
            <w:tcBorders>
              <w:top w:val="nil"/>
              <w:left w:val="nil"/>
              <w:bottom w:val="nil"/>
              <w:right w:val="nil"/>
            </w:tcBorders>
            <w:shd w:val="clear" w:color="auto" w:fill="auto"/>
            <w:noWrap/>
            <w:vAlign w:val="center"/>
            <w:hideMark/>
          </w:tcPr>
          <w:p w14:paraId="5B223E33"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17.53</w:t>
            </w:r>
          </w:p>
        </w:tc>
        <w:tc>
          <w:tcPr>
            <w:tcW w:w="1536" w:type="dxa"/>
            <w:tcBorders>
              <w:top w:val="nil"/>
              <w:left w:val="nil"/>
              <w:bottom w:val="nil"/>
              <w:right w:val="nil"/>
            </w:tcBorders>
            <w:shd w:val="clear" w:color="auto" w:fill="auto"/>
            <w:noWrap/>
            <w:vAlign w:val="center"/>
            <w:hideMark/>
          </w:tcPr>
          <w:p w14:paraId="4BB91E7A"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13.88</w:t>
            </w:r>
          </w:p>
        </w:tc>
      </w:tr>
      <w:tr w:rsidR="0038727B" w:rsidRPr="00E21717" w14:paraId="7AD349CC" w14:textId="77777777" w:rsidTr="00552EF7">
        <w:trPr>
          <w:trHeight w:val="302"/>
        </w:trPr>
        <w:tc>
          <w:tcPr>
            <w:tcW w:w="3031" w:type="dxa"/>
            <w:tcBorders>
              <w:top w:val="nil"/>
              <w:left w:val="nil"/>
              <w:bottom w:val="nil"/>
              <w:right w:val="nil"/>
            </w:tcBorders>
            <w:shd w:val="clear" w:color="auto" w:fill="auto"/>
            <w:noWrap/>
            <w:vAlign w:val="center"/>
            <w:hideMark/>
          </w:tcPr>
          <w:p w14:paraId="194E17A4"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Lloyds Banking Group </w:t>
            </w:r>
          </w:p>
        </w:tc>
        <w:tc>
          <w:tcPr>
            <w:tcW w:w="1879" w:type="dxa"/>
            <w:tcBorders>
              <w:top w:val="nil"/>
              <w:left w:val="nil"/>
              <w:bottom w:val="nil"/>
              <w:right w:val="nil"/>
            </w:tcBorders>
            <w:shd w:val="clear" w:color="auto" w:fill="auto"/>
            <w:noWrap/>
            <w:vAlign w:val="center"/>
            <w:hideMark/>
          </w:tcPr>
          <w:p w14:paraId="63EDBB27"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7.42</w:t>
            </w:r>
          </w:p>
        </w:tc>
        <w:tc>
          <w:tcPr>
            <w:tcW w:w="2041" w:type="dxa"/>
            <w:tcBorders>
              <w:top w:val="nil"/>
              <w:left w:val="nil"/>
              <w:bottom w:val="nil"/>
              <w:right w:val="nil"/>
            </w:tcBorders>
            <w:shd w:val="clear" w:color="auto" w:fill="auto"/>
            <w:noWrap/>
            <w:vAlign w:val="center"/>
            <w:hideMark/>
          </w:tcPr>
          <w:p w14:paraId="3231B96F"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22.33</w:t>
            </w:r>
          </w:p>
        </w:tc>
        <w:tc>
          <w:tcPr>
            <w:tcW w:w="1536" w:type="dxa"/>
            <w:tcBorders>
              <w:top w:val="nil"/>
              <w:left w:val="nil"/>
              <w:bottom w:val="nil"/>
              <w:right w:val="nil"/>
            </w:tcBorders>
            <w:shd w:val="clear" w:color="auto" w:fill="auto"/>
            <w:noWrap/>
            <w:vAlign w:val="center"/>
            <w:hideMark/>
          </w:tcPr>
          <w:p w14:paraId="38A3B13D"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10.85</w:t>
            </w:r>
          </w:p>
        </w:tc>
      </w:tr>
      <w:tr w:rsidR="0038727B" w:rsidRPr="00E21717" w14:paraId="3840D5FC" w14:textId="77777777" w:rsidTr="00552EF7">
        <w:trPr>
          <w:trHeight w:val="302"/>
        </w:trPr>
        <w:tc>
          <w:tcPr>
            <w:tcW w:w="3031" w:type="dxa"/>
            <w:tcBorders>
              <w:top w:val="nil"/>
              <w:left w:val="nil"/>
              <w:bottom w:val="nil"/>
              <w:right w:val="nil"/>
            </w:tcBorders>
            <w:shd w:val="clear" w:color="auto" w:fill="auto"/>
            <w:noWrap/>
            <w:vAlign w:val="center"/>
            <w:hideMark/>
          </w:tcPr>
          <w:p w14:paraId="16C312BE"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Mitsubishi Financial Group </w:t>
            </w:r>
          </w:p>
        </w:tc>
        <w:tc>
          <w:tcPr>
            <w:tcW w:w="1879" w:type="dxa"/>
            <w:tcBorders>
              <w:top w:val="nil"/>
              <w:left w:val="nil"/>
              <w:bottom w:val="nil"/>
              <w:right w:val="nil"/>
            </w:tcBorders>
            <w:shd w:val="clear" w:color="auto" w:fill="auto"/>
            <w:noWrap/>
            <w:vAlign w:val="center"/>
            <w:hideMark/>
          </w:tcPr>
          <w:p w14:paraId="54B2D1C6"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9.24</w:t>
            </w:r>
          </w:p>
        </w:tc>
        <w:tc>
          <w:tcPr>
            <w:tcW w:w="2041" w:type="dxa"/>
            <w:tcBorders>
              <w:top w:val="nil"/>
              <w:left w:val="nil"/>
              <w:bottom w:val="nil"/>
              <w:right w:val="nil"/>
            </w:tcBorders>
            <w:shd w:val="clear" w:color="auto" w:fill="auto"/>
            <w:noWrap/>
            <w:vAlign w:val="center"/>
            <w:hideMark/>
          </w:tcPr>
          <w:p w14:paraId="6B266F18"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4.97</w:t>
            </w:r>
          </w:p>
        </w:tc>
        <w:tc>
          <w:tcPr>
            <w:tcW w:w="1536" w:type="dxa"/>
            <w:tcBorders>
              <w:top w:val="nil"/>
              <w:left w:val="nil"/>
              <w:bottom w:val="nil"/>
              <w:right w:val="nil"/>
            </w:tcBorders>
            <w:shd w:val="clear" w:color="auto" w:fill="auto"/>
            <w:noWrap/>
            <w:vAlign w:val="center"/>
            <w:hideMark/>
          </w:tcPr>
          <w:p w14:paraId="3C80E793"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3.09</w:t>
            </w:r>
          </w:p>
        </w:tc>
      </w:tr>
      <w:tr w:rsidR="0038727B" w:rsidRPr="00E21717" w14:paraId="5B6E4C0E" w14:textId="77777777" w:rsidTr="00552EF7">
        <w:trPr>
          <w:trHeight w:val="302"/>
        </w:trPr>
        <w:tc>
          <w:tcPr>
            <w:tcW w:w="3031" w:type="dxa"/>
            <w:tcBorders>
              <w:top w:val="nil"/>
              <w:left w:val="nil"/>
              <w:bottom w:val="nil"/>
              <w:right w:val="nil"/>
            </w:tcBorders>
            <w:shd w:val="clear" w:color="auto" w:fill="auto"/>
            <w:noWrap/>
            <w:vAlign w:val="center"/>
            <w:hideMark/>
          </w:tcPr>
          <w:p w14:paraId="2A5DE762"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Mizuho Financial Group </w:t>
            </w:r>
          </w:p>
        </w:tc>
        <w:tc>
          <w:tcPr>
            <w:tcW w:w="1879" w:type="dxa"/>
            <w:tcBorders>
              <w:top w:val="nil"/>
              <w:left w:val="nil"/>
              <w:bottom w:val="nil"/>
              <w:right w:val="nil"/>
            </w:tcBorders>
            <w:shd w:val="clear" w:color="auto" w:fill="auto"/>
            <w:noWrap/>
            <w:vAlign w:val="center"/>
            <w:hideMark/>
          </w:tcPr>
          <w:p w14:paraId="6F827556"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6.90</w:t>
            </w:r>
          </w:p>
        </w:tc>
        <w:tc>
          <w:tcPr>
            <w:tcW w:w="2041" w:type="dxa"/>
            <w:tcBorders>
              <w:top w:val="nil"/>
              <w:left w:val="nil"/>
              <w:bottom w:val="nil"/>
              <w:right w:val="nil"/>
            </w:tcBorders>
            <w:shd w:val="clear" w:color="auto" w:fill="auto"/>
            <w:noWrap/>
            <w:vAlign w:val="center"/>
            <w:hideMark/>
          </w:tcPr>
          <w:p w14:paraId="7ADC632B"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4.44</w:t>
            </w:r>
          </w:p>
        </w:tc>
        <w:tc>
          <w:tcPr>
            <w:tcW w:w="1536" w:type="dxa"/>
            <w:tcBorders>
              <w:top w:val="nil"/>
              <w:left w:val="nil"/>
              <w:bottom w:val="nil"/>
              <w:right w:val="nil"/>
            </w:tcBorders>
            <w:shd w:val="clear" w:color="auto" w:fill="auto"/>
            <w:noWrap/>
            <w:vAlign w:val="center"/>
            <w:hideMark/>
          </w:tcPr>
          <w:p w14:paraId="73D55D6E"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0.28</w:t>
            </w:r>
          </w:p>
        </w:tc>
      </w:tr>
      <w:tr w:rsidR="0038727B" w:rsidRPr="00E21717" w14:paraId="3529B7A6" w14:textId="77777777" w:rsidTr="00552EF7">
        <w:trPr>
          <w:trHeight w:val="302"/>
        </w:trPr>
        <w:tc>
          <w:tcPr>
            <w:tcW w:w="3031" w:type="dxa"/>
            <w:tcBorders>
              <w:top w:val="nil"/>
              <w:left w:val="nil"/>
              <w:bottom w:val="nil"/>
              <w:right w:val="nil"/>
            </w:tcBorders>
            <w:shd w:val="clear" w:color="auto" w:fill="auto"/>
            <w:noWrap/>
            <w:vAlign w:val="center"/>
            <w:hideMark/>
          </w:tcPr>
          <w:p w14:paraId="3168A21C" w14:textId="77777777" w:rsidR="0038727B" w:rsidRPr="00E21717" w:rsidRDefault="0038727B"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Natixis</w:t>
            </w:r>
            <w:proofErr w:type="spellEnd"/>
          </w:p>
        </w:tc>
        <w:tc>
          <w:tcPr>
            <w:tcW w:w="1879" w:type="dxa"/>
            <w:tcBorders>
              <w:top w:val="nil"/>
              <w:left w:val="nil"/>
              <w:bottom w:val="nil"/>
              <w:right w:val="nil"/>
            </w:tcBorders>
            <w:shd w:val="clear" w:color="auto" w:fill="auto"/>
            <w:noWrap/>
            <w:vAlign w:val="center"/>
            <w:hideMark/>
          </w:tcPr>
          <w:p w14:paraId="161FCAAA" w14:textId="6B85F86F" w:rsidR="0038727B" w:rsidRPr="00371459" w:rsidRDefault="006C76BA" w:rsidP="00552EF7">
            <w:pPr>
              <w:jc w:val="center"/>
              <w:rPr>
                <w:rFonts w:ascii="dcr10" w:eastAsia="Times New Roman" w:hAnsi="dcr10" w:cs="Times New Roman"/>
                <w:color w:val="000000"/>
                <w:sz w:val="18"/>
                <w:szCs w:val="18"/>
              </w:rPr>
            </w:pPr>
            <w:r>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5CAEA1F7"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23.05</w:t>
            </w:r>
          </w:p>
        </w:tc>
        <w:tc>
          <w:tcPr>
            <w:tcW w:w="1536" w:type="dxa"/>
            <w:tcBorders>
              <w:top w:val="nil"/>
              <w:left w:val="nil"/>
              <w:bottom w:val="nil"/>
              <w:right w:val="nil"/>
            </w:tcBorders>
            <w:shd w:val="clear" w:color="auto" w:fill="auto"/>
            <w:noWrap/>
            <w:vAlign w:val="center"/>
            <w:hideMark/>
          </w:tcPr>
          <w:p w14:paraId="32886223"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12.38</w:t>
            </w:r>
          </w:p>
        </w:tc>
      </w:tr>
      <w:tr w:rsidR="0038727B" w:rsidRPr="00E21717" w14:paraId="59C4501A" w14:textId="77777777" w:rsidTr="00552EF7">
        <w:trPr>
          <w:trHeight w:val="282"/>
        </w:trPr>
        <w:tc>
          <w:tcPr>
            <w:tcW w:w="3031" w:type="dxa"/>
            <w:tcBorders>
              <w:top w:val="nil"/>
              <w:left w:val="nil"/>
              <w:bottom w:val="nil"/>
              <w:right w:val="nil"/>
            </w:tcBorders>
            <w:shd w:val="clear" w:color="auto" w:fill="auto"/>
            <w:noWrap/>
            <w:vAlign w:val="center"/>
            <w:hideMark/>
          </w:tcPr>
          <w:p w14:paraId="1C773A77"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National Australia Bank </w:t>
            </w:r>
          </w:p>
        </w:tc>
        <w:tc>
          <w:tcPr>
            <w:tcW w:w="1879" w:type="dxa"/>
            <w:tcBorders>
              <w:top w:val="nil"/>
              <w:left w:val="nil"/>
              <w:bottom w:val="nil"/>
              <w:right w:val="nil"/>
            </w:tcBorders>
            <w:shd w:val="clear" w:color="auto" w:fill="auto"/>
            <w:noWrap/>
            <w:vAlign w:val="center"/>
            <w:hideMark/>
          </w:tcPr>
          <w:p w14:paraId="250AB4EF"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1.37</w:t>
            </w:r>
          </w:p>
        </w:tc>
        <w:tc>
          <w:tcPr>
            <w:tcW w:w="2041" w:type="dxa"/>
            <w:tcBorders>
              <w:top w:val="nil"/>
              <w:left w:val="nil"/>
              <w:bottom w:val="nil"/>
              <w:right w:val="nil"/>
            </w:tcBorders>
            <w:shd w:val="clear" w:color="auto" w:fill="auto"/>
            <w:noWrap/>
            <w:vAlign w:val="center"/>
            <w:hideMark/>
          </w:tcPr>
          <w:p w14:paraId="26CBF62A"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0.06</w:t>
            </w:r>
          </w:p>
        </w:tc>
        <w:tc>
          <w:tcPr>
            <w:tcW w:w="1536" w:type="dxa"/>
            <w:tcBorders>
              <w:top w:val="nil"/>
              <w:left w:val="nil"/>
              <w:bottom w:val="nil"/>
              <w:right w:val="nil"/>
            </w:tcBorders>
            <w:shd w:val="clear" w:color="auto" w:fill="auto"/>
            <w:noWrap/>
            <w:vAlign w:val="center"/>
            <w:hideMark/>
          </w:tcPr>
          <w:p w14:paraId="79AF6BB7"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0.31</w:t>
            </w:r>
          </w:p>
        </w:tc>
      </w:tr>
      <w:tr w:rsidR="0038727B" w:rsidRPr="00E21717" w14:paraId="3C6FA43C" w14:textId="77777777" w:rsidTr="00552EF7">
        <w:trPr>
          <w:trHeight w:val="302"/>
        </w:trPr>
        <w:tc>
          <w:tcPr>
            <w:tcW w:w="3031" w:type="dxa"/>
            <w:tcBorders>
              <w:top w:val="nil"/>
              <w:left w:val="nil"/>
              <w:bottom w:val="nil"/>
              <w:right w:val="nil"/>
            </w:tcBorders>
            <w:shd w:val="clear" w:color="auto" w:fill="auto"/>
            <w:noWrap/>
            <w:vAlign w:val="center"/>
            <w:hideMark/>
          </w:tcPr>
          <w:p w14:paraId="5B41E2C4" w14:textId="77777777" w:rsidR="0038727B" w:rsidRPr="00E21717" w:rsidRDefault="0038727B"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Nordea</w:t>
            </w:r>
            <w:proofErr w:type="spellEnd"/>
            <w:r w:rsidRPr="00E21717">
              <w:rPr>
                <w:rFonts w:ascii="dcr10" w:eastAsia="Times New Roman" w:hAnsi="dcr10" w:cs="Times New Roman"/>
                <w:color w:val="000000"/>
                <w:sz w:val="18"/>
                <w:szCs w:val="18"/>
              </w:rPr>
              <w:t xml:space="preserve"> Bank </w:t>
            </w:r>
          </w:p>
        </w:tc>
        <w:tc>
          <w:tcPr>
            <w:tcW w:w="1879" w:type="dxa"/>
            <w:tcBorders>
              <w:top w:val="nil"/>
              <w:left w:val="nil"/>
              <w:bottom w:val="nil"/>
              <w:right w:val="nil"/>
            </w:tcBorders>
            <w:shd w:val="clear" w:color="auto" w:fill="auto"/>
            <w:noWrap/>
            <w:vAlign w:val="center"/>
            <w:hideMark/>
          </w:tcPr>
          <w:p w14:paraId="09A55392"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6.00</w:t>
            </w:r>
          </w:p>
        </w:tc>
        <w:tc>
          <w:tcPr>
            <w:tcW w:w="2041" w:type="dxa"/>
            <w:tcBorders>
              <w:top w:val="nil"/>
              <w:left w:val="nil"/>
              <w:bottom w:val="nil"/>
              <w:right w:val="nil"/>
            </w:tcBorders>
            <w:shd w:val="clear" w:color="auto" w:fill="auto"/>
            <w:noWrap/>
            <w:vAlign w:val="center"/>
            <w:hideMark/>
          </w:tcPr>
          <w:p w14:paraId="2683BDC4"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3.25</w:t>
            </w:r>
          </w:p>
        </w:tc>
        <w:tc>
          <w:tcPr>
            <w:tcW w:w="1536" w:type="dxa"/>
            <w:tcBorders>
              <w:top w:val="nil"/>
              <w:left w:val="nil"/>
              <w:bottom w:val="nil"/>
              <w:right w:val="nil"/>
            </w:tcBorders>
            <w:shd w:val="clear" w:color="auto" w:fill="auto"/>
            <w:noWrap/>
            <w:vAlign w:val="center"/>
            <w:hideMark/>
          </w:tcPr>
          <w:p w14:paraId="2713C4BF"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0.09</w:t>
            </w:r>
          </w:p>
        </w:tc>
      </w:tr>
      <w:tr w:rsidR="0038727B" w:rsidRPr="00E21717" w14:paraId="5B728EED" w14:textId="77777777" w:rsidTr="00552EF7">
        <w:trPr>
          <w:trHeight w:val="302"/>
        </w:trPr>
        <w:tc>
          <w:tcPr>
            <w:tcW w:w="3031" w:type="dxa"/>
            <w:tcBorders>
              <w:top w:val="nil"/>
              <w:left w:val="nil"/>
              <w:bottom w:val="nil"/>
              <w:right w:val="nil"/>
            </w:tcBorders>
            <w:shd w:val="clear" w:color="auto" w:fill="auto"/>
            <w:noWrap/>
            <w:vAlign w:val="center"/>
            <w:hideMark/>
          </w:tcPr>
          <w:p w14:paraId="21FC6B43"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Bank of Nova Scotia</w:t>
            </w:r>
          </w:p>
        </w:tc>
        <w:tc>
          <w:tcPr>
            <w:tcW w:w="1879" w:type="dxa"/>
            <w:tcBorders>
              <w:top w:val="nil"/>
              <w:left w:val="nil"/>
              <w:bottom w:val="nil"/>
              <w:right w:val="nil"/>
            </w:tcBorders>
            <w:shd w:val="clear" w:color="auto" w:fill="auto"/>
            <w:noWrap/>
            <w:vAlign w:val="center"/>
            <w:hideMark/>
          </w:tcPr>
          <w:p w14:paraId="6BABBE88"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3.28</w:t>
            </w:r>
          </w:p>
        </w:tc>
        <w:tc>
          <w:tcPr>
            <w:tcW w:w="2041" w:type="dxa"/>
            <w:tcBorders>
              <w:top w:val="nil"/>
              <w:left w:val="nil"/>
              <w:bottom w:val="nil"/>
              <w:right w:val="nil"/>
            </w:tcBorders>
            <w:shd w:val="clear" w:color="auto" w:fill="auto"/>
            <w:noWrap/>
            <w:vAlign w:val="center"/>
            <w:hideMark/>
          </w:tcPr>
          <w:p w14:paraId="36B95567"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0.68</w:t>
            </w:r>
          </w:p>
        </w:tc>
        <w:tc>
          <w:tcPr>
            <w:tcW w:w="1536" w:type="dxa"/>
            <w:tcBorders>
              <w:top w:val="nil"/>
              <w:left w:val="nil"/>
              <w:bottom w:val="nil"/>
              <w:right w:val="nil"/>
            </w:tcBorders>
            <w:shd w:val="clear" w:color="auto" w:fill="auto"/>
            <w:noWrap/>
            <w:vAlign w:val="center"/>
            <w:hideMark/>
          </w:tcPr>
          <w:p w14:paraId="7F0E1CC4"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-1.59</w:t>
            </w:r>
          </w:p>
        </w:tc>
      </w:tr>
      <w:tr w:rsidR="0038727B" w:rsidRPr="00E21717" w14:paraId="25823B80" w14:textId="77777777" w:rsidTr="00552EF7">
        <w:trPr>
          <w:trHeight w:val="302"/>
        </w:trPr>
        <w:tc>
          <w:tcPr>
            <w:tcW w:w="3031" w:type="dxa"/>
            <w:tcBorders>
              <w:top w:val="nil"/>
              <w:left w:val="nil"/>
              <w:bottom w:val="nil"/>
              <w:right w:val="nil"/>
            </w:tcBorders>
            <w:shd w:val="clear" w:color="auto" w:fill="auto"/>
            <w:noWrap/>
            <w:vAlign w:val="center"/>
            <w:hideMark/>
          </w:tcPr>
          <w:p w14:paraId="54E20086"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Royal Bank of Canada </w:t>
            </w:r>
          </w:p>
        </w:tc>
        <w:tc>
          <w:tcPr>
            <w:tcW w:w="1879" w:type="dxa"/>
            <w:tcBorders>
              <w:top w:val="nil"/>
              <w:left w:val="nil"/>
              <w:bottom w:val="nil"/>
              <w:right w:val="nil"/>
            </w:tcBorders>
            <w:shd w:val="clear" w:color="auto" w:fill="auto"/>
            <w:noWrap/>
            <w:vAlign w:val="center"/>
            <w:hideMark/>
          </w:tcPr>
          <w:p w14:paraId="7D3AFA21"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3.82</w:t>
            </w:r>
          </w:p>
        </w:tc>
        <w:tc>
          <w:tcPr>
            <w:tcW w:w="2041" w:type="dxa"/>
            <w:tcBorders>
              <w:top w:val="nil"/>
              <w:left w:val="nil"/>
              <w:bottom w:val="nil"/>
              <w:right w:val="nil"/>
            </w:tcBorders>
            <w:shd w:val="clear" w:color="auto" w:fill="auto"/>
            <w:noWrap/>
            <w:vAlign w:val="center"/>
            <w:hideMark/>
          </w:tcPr>
          <w:p w14:paraId="5A9AC1F1"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1.59</w:t>
            </w:r>
          </w:p>
        </w:tc>
        <w:tc>
          <w:tcPr>
            <w:tcW w:w="1536" w:type="dxa"/>
            <w:tcBorders>
              <w:top w:val="nil"/>
              <w:left w:val="nil"/>
              <w:bottom w:val="nil"/>
              <w:right w:val="nil"/>
            </w:tcBorders>
            <w:shd w:val="clear" w:color="auto" w:fill="auto"/>
            <w:noWrap/>
            <w:vAlign w:val="center"/>
            <w:hideMark/>
          </w:tcPr>
          <w:p w14:paraId="7E0F216D"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-1.49</w:t>
            </w:r>
          </w:p>
        </w:tc>
      </w:tr>
      <w:tr w:rsidR="0038727B" w:rsidRPr="00E21717" w14:paraId="2BEBE0E3" w14:textId="77777777" w:rsidTr="00552EF7">
        <w:trPr>
          <w:trHeight w:val="302"/>
        </w:trPr>
        <w:tc>
          <w:tcPr>
            <w:tcW w:w="3031" w:type="dxa"/>
            <w:tcBorders>
              <w:top w:val="nil"/>
              <w:left w:val="nil"/>
              <w:bottom w:val="nil"/>
              <w:right w:val="nil"/>
            </w:tcBorders>
            <w:shd w:val="clear" w:color="auto" w:fill="auto"/>
            <w:noWrap/>
            <w:vAlign w:val="center"/>
            <w:hideMark/>
          </w:tcPr>
          <w:p w14:paraId="10315C5E"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Royal Bank of Scotland </w:t>
            </w:r>
          </w:p>
        </w:tc>
        <w:tc>
          <w:tcPr>
            <w:tcW w:w="1879" w:type="dxa"/>
            <w:tcBorders>
              <w:top w:val="nil"/>
              <w:left w:val="nil"/>
              <w:bottom w:val="nil"/>
              <w:right w:val="nil"/>
            </w:tcBorders>
            <w:shd w:val="clear" w:color="auto" w:fill="auto"/>
            <w:noWrap/>
            <w:vAlign w:val="center"/>
            <w:hideMark/>
          </w:tcPr>
          <w:p w14:paraId="50B144D5" w14:textId="0D98B715" w:rsidR="0038727B" w:rsidRPr="00371459" w:rsidRDefault="006C76BA" w:rsidP="00552EF7">
            <w:pPr>
              <w:jc w:val="center"/>
              <w:rPr>
                <w:rFonts w:ascii="dcr10" w:eastAsia="Times New Roman" w:hAnsi="dcr10" w:cs="Times New Roman"/>
                <w:color w:val="000000"/>
                <w:sz w:val="18"/>
                <w:szCs w:val="18"/>
              </w:rPr>
            </w:pPr>
            <w:r>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3BAA928B"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30.93</w:t>
            </w:r>
          </w:p>
        </w:tc>
        <w:tc>
          <w:tcPr>
            <w:tcW w:w="1536" w:type="dxa"/>
            <w:tcBorders>
              <w:top w:val="nil"/>
              <w:left w:val="nil"/>
              <w:bottom w:val="nil"/>
              <w:right w:val="nil"/>
            </w:tcBorders>
            <w:shd w:val="clear" w:color="auto" w:fill="auto"/>
            <w:noWrap/>
            <w:vAlign w:val="center"/>
            <w:hideMark/>
          </w:tcPr>
          <w:p w14:paraId="19C4BF4E"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22.43</w:t>
            </w:r>
          </w:p>
        </w:tc>
      </w:tr>
      <w:tr w:rsidR="0038727B" w:rsidRPr="00E21717" w14:paraId="0906B716" w14:textId="77777777" w:rsidTr="00552EF7">
        <w:trPr>
          <w:trHeight w:val="302"/>
        </w:trPr>
        <w:tc>
          <w:tcPr>
            <w:tcW w:w="3031" w:type="dxa"/>
            <w:tcBorders>
              <w:top w:val="nil"/>
              <w:left w:val="nil"/>
              <w:bottom w:val="nil"/>
              <w:right w:val="nil"/>
            </w:tcBorders>
            <w:shd w:val="clear" w:color="auto" w:fill="auto"/>
            <w:noWrap/>
            <w:vAlign w:val="center"/>
            <w:hideMark/>
          </w:tcPr>
          <w:p w14:paraId="131F3E3B" w14:textId="77777777" w:rsidR="0038727B" w:rsidRPr="00E21717" w:rsidRDefault="0038727B"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Banco</w:t>
            </w:r>
            <w:proofErr w:type="spellEnd"/>
            <w:r w:rsidRPr="00E21717">
              <w:rPr>
                <w:rFonts w:ascii="dcr10" w:eastAsia="Times New Roman" w:hAnsi="dcr10" w:cs="Times New Roman"/>
                <w:color w:val="000000"/>
                <w:sz w:val="18"/>
                <w:szCs w:val="18"/>
              </w:rPr>
              <w:t xml:space="preserve"> Santander</w:t>
            </w:r>
          </w:p>
        </w:tc>
        <w:tc>
          <w:tcPr>
            <w:tcW w:w="1879" w:type="dxa"/>
            <w:tcBorders>
              <w:top w:val="nil"/>
              <w:left w:val="nil"/>
              <w:bottom w:val="nil"/>
              <w:right w:val="nil"/>
            </w:tcBorders>
            <w:shd w:val="clear" w:color="auto" w:fill="auto"/>
            <w:noWrap/>
            <w:vAlign w:val="center"/>
            <w:hideMark/>
          </w:tcPr>
          <w:p w14:paraId="30A32823"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5.43</w:t>
            </w:r>
          </w:p>
        </w:tc>
        <w:tc>
          <w:tcPr>
            <w:tcW w:w="2041" w:type="dxa"/>
            <w:tcBorders>
              <w:top w:val="nil"/>
              <w:left w:val="nil"/>
              <w:bottom w:val="nil"/>
              <w:right w:val="nil"/>
            </w:tcBorders>
            <w:shd w:val="clear" w:color="auto" w:fill="auto"/>
            <w:noWrap/>
            <w:vAlign w:val="center"/>
            <w:hideMark/>
          </w:tcPr>
          <w:p w14:paraId="7E47A439"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13.54</w:t>
            </w:r>
          </w:p>
        </w:tc>
        <w:tc>
          <w:tcPr>
            <w:tcW w:w="1536" w:type="dxa"/>
            <w:tcBorders>
              <w:top w:val="nil"/>
              <w:left w:val="nil"/>
              <w:bottom w:val="nil"/>
              <w:right w:val="nil"/>
            </w:tcBorders>
            <w:shd w:val="clear" w:color="auto" w:fill="auto"/>
            <w:noWrap/>
            <w:vAlign w:val="center"/>
            <w:hideMark/>
          </w:tcPr>
          <w:p w14:paraId="1D7412EC"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7.57</w:t>
            </w:r>
          </w:p>
        </w:tc>
      </w:tr>
      <w:tr w:rsidR="0038727B" w:rsidRPr="00E21717" w14:paraId="7BC28744" w14:textId="77777777" w:rsidTr="00552EF7">
        <w:trPr>
          <w:trHeight w:val="302"/>
        </w:trPr>
        <w:tc>
          <w:tcPr>
            <w:tcW w:w="3031" w:type="dxa"/>
            <w:tcBorders>
              <w:top w:val="nil"/>
              <w:left w:val="nil"/>
              <w:bottom w:val="nil"/>
              <w:right w:val="nil"/>
            </w:tcBorders>
            <w:shd w:val="clear" w:color="auto" w:fill="auto"/>
            <w:noWrap/>
            <w:vAlign w:val="center"/>
            <w:hideMark/>
          </w:tcPr>
          <w:p w14:paraId="61AA882E" w14:textId="77777777" w:rsidR="0038727B" w:rsidRPr="00E21717" w:rsidRDefault="0038727B"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bCs/>
                <w:color w:val="000000"/>
                <w:sz w:val="18"/>
                <w:szCs w:val="18"/>
              </w:rPr>
              <w:t>Societe</w:t>
            </w:r>
            <w:proofErr w:type="spellEnd"/>
            <w:r w:rsidRPr="00E21717">
              <w:rPr>
                <w:rFonts w:ascii="dcr10" w:eastAsia="Times New Roman" w:hAnsi="dcr10" w:cs="Times New Roman"/>
                <w:bCs/>
                <w:color w:val="000000"/>
                <w:sz w:val="18"/>
                <w:szCs w:val="18"/>
              </w:rPr>
              <w:t xml:space="preserve"> </w:t>
            </w:r>
            <w:proofErr w:type="spellStart"/>
            <w:r w:rsidRPr="00E21717">
              <w:rPr>
                <w:rFonts w:ascii="dcr10" w:eastAsia="Times New Roman" w:hAnsi="dcr10" w:cs="Times New Roman"/>
                <w:bCs/>
                <w:color w:val="000000"/>
                <w:sz w:val="18"/>
                <w:szCs w:val="18"/>
              </w:rPr>
              <w:t>Generale</w:t>
            </w:r>
            <w:proofErr w:type="spellEnd"/>
            <w:r w:rsidRPr="00E21717">
              <w:rPr>
                <w:rFonts w:ascii="dcr10" w:eastAsia="Times New Roman" w:hAnsi="dcr10" w:cs="Times New Roman"/>
                <w:bCs/>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66372799"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6.92</w:t>
            </w:r>
          </w:p>
        </w:tc>
        <w:tc>
          <w:tcPr>
            <w:tcW w:w="2041" w:type="dxa"/>
            <w:tcBorders>
              <w:top w:val="nil"/>
              <w:left w:val="nil"/>
              <w:bottom w:val="nil"/>
              <w:right w:val="nil"/>
            </w:tcBorders>
            <w:shd w:val="clear" w:color="auto" w:fill="auto"/>
            <w:noWrap/>
            <w:vAlign w:val="center"/>
            <w:hideMark/>
          </w:tcPr>
          <w:p w14:paraId="6CF6FF15"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22.69</w:t>
            </w:r>
          </w:p>
        </w:tc>
        <w:tc>
          <w:tcPr>
            <w:tcW w:w="1536" w:type="dxa"/>
            <w:tcBorders>
              <w:top w:val="nil"/>
              <w:left w:val="nil"/>
              <w:bottom w:val="nil"/>
              <w:right w:val="nil"/>
            </w:tcBorders>
            <w:shd w:val="clear" w:color="auto" w:fill="auto"/>
            <w:noWrap/>
            <w:vAlign w:val="center"/>
            <w:hideMark/>
          </w:tcPr>
          <w:p w14:paraId="5AA4B50D"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11.43</w:t>
            </w:r>
          </w:p>
        </w:tc>
      </w:tr>
      <w:tr w:rsidR="0038727B" w:rsidRPr="00E21717" w14:paraId="4B9FD979" w14:textId="77777777" w:rsidTr="00552EF7">
        <w:trPr>
          <w:trHeight w:val="302"/>
        </w:trPr>
        <w:tc>
          <w:tcPr>
            <w:tcW w:w="3031" w:type="dxa"/>
            <w:tcBorders>
              <w:top w:val="nil"/>
              <w:left w:val="nil"/>
              <w:bottom w:val="nil"/>
              <w:right w:val="nil"/>
            </w:tcBorders>
            <w:shd w:val="clear" w:color="auto" w:fill="auto"/>
            <w:noWrap/>
            <w:vAlign w:val="center"/>
            <w:hideMark/>
          </w:tcPr>
          <w:p w14:paraId="70CC29D8" w14:textId="77777777" w:rsidR="0038727B" w:rsidRPr="00E21717" w:rsidRDefault="0038727B"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Standered</w:t>
            </w:r>
            <w:proofErr w:type="spellEnd"/>
            <w:r w:rsidRPr="00E21717">
              <w:rPr>
                <w:rFonts w:ascii="dcr10" w:eastAsia="Times New Roman" w:hAnsi="dcr10" w:cs="Times New Roman"/>
                <w:color w:val="000000"/>
                <w:sz w:val="18"/>
                <w:szCs w:val="18"/>
              </w:rPr>
              <w:t xml:space="preserve"> Chartered </w:t>
            </w:r>
          </w:p>
        </w:tc>
        <w:tc>
          <w:tcPr>
            <w:tcW w:w="1879" w:type="dxa"/>
            <w:tcBorders>
              <w:top w:val="nil"/>
              <w:left w:val="nil"/>
              <w:bottom w:val="nil"/>
              <w:right w:val="nil"/>
            </w:tcBorders>
            <w:shd w:val="clear" w:color="auto" w:fill="auto"/>
            <w:noWrap/>
            <w:vAlign w:val="center"/>
            <w:hideMark/>
          </w:tcPr>
          <w:p w14:paraId="636E4445"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11.26</w:t>
            </w:r>
          </w:p>
        </w:tc>
        <w:tc>
          <w:tcPr>
            <w:tcW w:w="2041" w:type="dxa"/>
            <w:tcBorders>
              <w:top w:val="nil"/>
              <w:left w:val="nil"/>
              <w:bottom w:val="nil"/>
              <w:right w:val="nil"/>
            </w:tcBorders>
            <w:shd w:val="clear" w:color="auto" w:fill="auto"/>
            <w:noWrap/>
            <w:vAlign w:val="center"/>
            <w:hideMark/>
          </w:tcPr>
          <w:p w14:paraId="183DEE33"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9.83</w:t>
            </w:r>
          </w:p>
        </w:tc>
        <w:tc>
          <w:tcPr>
            <w:tcW w:w="1536" w:type="dxa"/>
            <w:tcBorders>
              <w:top w:val="nil"/>
              <w:left w:val="nil"/>
              <w:bottom w:val="nil"/>
              <w:right w:val="nil"/>
            </w:tcBorders>
            <w:shd w:val="clear" w:color="auto" w:fill="auto"/>
            <w:noWrap/>
            <w:vAlign w:val="center"/>
            <w:hideMark/>
          </w:tcPr>
          <w:p w14:paraId="1AE7D9EB"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10.05</w:t>
            </w:r>
          </w:p>
        </w:tc>
      </w:tr>
      <w:tr w:rsidR="0038727B" w:rsidRPr="00E21717" w14:paraId="683F4EE6" w14:textId="77777777" w:rsidTr="00552EF7">
        <w:trPr>
          <w:trHeight w:val="302"/>
        </w:trPr>
        <w:tc>
          <w:tcPr>
            <w:tcW w:w="3031" w:type="dxa"/>
            <w:tcBorders>
              <w:top w:val="nil"/>
              <w:left w:val="nil"/>
              <w:bottom w:val="nil"/>
              <w:right w:val="nil"/>
            </w:tcBorders>
            <w:shd w:val="clear" w:color="auto" w:fill="auto"/>
            <w:noWrap/>
            <w:vAlign w:val="center"/>
            <w:hideMark/>
          </w:tcPr>
          <w:p w14:paraId="4E66CD46"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Sumitomo Mitsui Financial </w:t>
            </w:r>
          </w:p>
        </w:tc>
        <w:tc>
          <w:tcPr>
            <w:tcW w:w="1879" w:type="dxa"/>
            <w:tcBorders>
              <w:top w:val="nil"/>
              <w:left w:val="nil"/>
              <w:bottom w:val="nil"/>
              <w:right w:val="nil"/>
            </w:tcBorders>
            <w:shd w:val="clear" w:color="auto" w:fill="auto"/>
            <w:noWrap/>
            <w:vAlign w:val="center"/>
            <w:hideMark/>
          </w:tcPr>
          <w:p w14:paraId="58DDD9DC"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11.48</w:t>
            </w:r>
          </w:p>
        </w:tc>
        <w:tc>
          <w:tcPr>
            <w:tcW w:w="2041" w:type="dxa"/>
            <w:tcBorders>
              <w:top w:val="nil"/>
              <w:left w:val="nil"/>
              <w:bottom w:val="nil"/>
              <w:right w:val="nil"/>
            </w:tcBorders>
            <w:shd w:val="clear" w:color="auto" w:fill="auto"/>
            <w:noWrap/>
            <w:vAlign w:val="center"/>
            <w:hideMark/>
          </w:tcPr>
          <w:p w14:paraId="51FBA82F"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4.04</w:t>
            </w:r>
          </w:p>
        </w:tc>
        <w:tc>
          <w:tcPr>
            <w:tcW w:w="1536" w:type="dxa"/>
            <w:tcBorders>
              <w:top w:val="nil"/>
              <w:left w:val="nil"/>
              <w:bottom w:val="nil"/>
              <w:right w:val="nil"/>
            </w:tcBorders>
            <w:shd w:val="clear" w:color="auto" w:fill="auto"/>
            <w:noWrap/>
            <w:vAlign w:val="center"/>
            <w:hideMark/>
          </w:tcPr>
          <w:p w14:paraId="3E6FF60E"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3.13</w:t>
            </w:r>
          </w:p>
        </w:tc>
      </w:tr>
      <w:tr w:rsidR="0038727B" w:rsidRPr="00E21717" w14:paraId="6AB4DDF0" w14:textId="77777777" w:rsidTr="00552EF7">
        <w:trPr>
          <w:trHeight w:val="302"/>
        </w:trPr>
        <w:tc>
          <w:tcPr>
            <w:tcW w:w="3031" w:type="dxa"/>
            <w:tcBorders>
              <w:top w:val="nil"/>
              <w:left w:val="nil"/>
              <w:bottom w:val="nil"/>
              <w:right w:val="nil"/>
            </w:tcBorders>
            <w:shd w:val="clear" w:color="auto" w:fill="auto"/>
            <w:noWrap/>
            <w:vAlign w:val="center"/>
            <w:hideMark/>
          </w:tcPr>
          <w:p w14:paraId="5FC2C942"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Toronto-</w:t>
            </w:r>
            <w:proofErr w:type="spellStart"/>
            <w:r w:rsidRPr="00E21717">
              <w:rPr>
                <w:rFonts w:ascii="dcr10" w:eastAsia="Times New Roman" w:hAnsi="dcr10" w:cs="Times New Roman"/>
                <w:color w:val="000000"/>
                <w:sz w:val="18"/>
                <w:szCs w:val="18"/>
              </w:rPr>
              <w:t>Dominon</w:t>
            </w:r>
            <w:proofErr w:type="spellEnd"/>
            <w:r w:rsidRPr="00E21717">
              <w:rPr>
                <w:rFonts w:ascii="dcr10" w:eastAsia="Times New Roman" w:hAnsi="dcr10" w:cs="Times New Roman"/>
                <w:color w:val="000000"/>
                <w:sz w:val="18"/>
                <w:szCs w:val="18"/>
              </w:rPr>
              <w:t xml:space="preserve"> Group </w:t>
            </w:r>
          </w:p>
        </w:tc>
        <w:tc>
          <w:tcPr>
            <w:tcW w:w="1879" w:type="dxa"/>
            <w:tcBorders>
              <w:top w:val="nil"/>
              <w:left w:val="nil"/>
              <w:bottom w:val="nil"/>
              <w:right w:val="nil"/>
            </w:tcBorders>
            <w:shd w:val="clear" w:color="auto" w:fill="auto"/>
            <w:noWrap/>
            <w:vAlign w:val="center"/>
            <w:hideMark/>
          </w:tcPr>
          <w:p w14:paraId="4EAFE4E8"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2.17</w:t>
            </w:r>
          </w:p>
        </w:tc>
        <w:tc>
          <w:tcPr>
            <w:tcW w:w="2041" w:type="dxa"/>
            <w:tcBorders>
              <w:top w:val="nil"/>
              <w:left w:val="nil"/>
              <w:bottom w:val="nil"/>
              <w:right w:val="nil"/>
            </w:tcBorders>
            <w:shd w:val="clear" w:color="auto" w:fill="auto"/>
            <w:noWrap/>
            <w:vAlign w:val="center"/>
            <w:hideMark/>
          </w:tcPr>
          <w:p w14:paraId="4CED82C1"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-1.02</w:t>
            </w:r>
          </w:p>
        </w:tc>
        <w:tc>
          <w:tcPr>
            <w:tcW w:w="1536" w:type="dxa"/>
            <w:tcBorders>
              <w:top w:val="nil"/>
              <w:left w:val="nil"/>
              <w:bottom w:val="nil"/>
              <w:right w:val="nil"/>
            </w:tcBorders>
            <w:shd w:val="clear" w:color="auto" w:fill="auto"/>
            <w:noWrap/>
            <w:vAlign w:val="center"/>
            <w:hideMark/>
          </w:tcPr>
          <w:p w14:paraId="4EBE0439"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-1.54</w:t>
            </w:r>
          </w:p>
        </w:tc>
      </w:tr>
      <w:tr w:rsidR="0038727B" w:rsidRPr="00E21717" w14:paraId="0DBA0FE2" w14:textId="77777777" w:rsidTr="00552EF7">
        <w:trPr>
          <w:trHeight w:val="302"/>
        </w:trPr>
        <w:tc>
          <w:tcPr>
            <w:tcW w:w="3031" w:type="dxa"/>
            <w:tcBorders>
              <w:top w:val="nil"/>
              <w:left w:val="nil"/>
              <w:bottom w:val="nil"/>
              <w:right w:val="nil"/>
            </w:tcBorders>
            <w:shd w:val="clear" w:color="auto" w:fill="auto"/>
            <w:noWrap/>
            <w:vAlign w:val="center"/>
            <w:hideMark/>
          </w:tcPr>
          <w:p w14:paraId="37B33B38"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UBS Group AG </w:t>
            </w:r>
          </w:p>
        </w:tc>
        <w:tc>
          <w:tcPr>
            <w:tcW w:w="1879" w:type="dxa"/>
            <w:tcBorders>
              <w:top w:val="nil"/>
              <w:left w:val="nil"/>
              <w:bottom w:val="nil"/>
              <w:right w:val="nil"/>
            </w:tcBorders>
            <w:shd w:val="clear" w:color="auto" w:fill="auto"/>
            <w:noWrap/>
            <w:vAlign w:val="center"/>
            <w:hideMark/>
          </w:tcPr>
          <w:p w14:paraId="71F3B6EC"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4.12</w:t>
            </w:r>
          </w:p>
        </w:tc>
        <w:tc>
          <w:tcPr>
            <w:tcW w:w="2041" w:type="dxa"/>
            <w:tcBorders>
              <w:top w:val="nil"/>
              <w:left w:val="nil"/>
              <w:bottom w:val="nil"/>
              <w:right w:val="nil"/>
            </w:tcBorders>
            <w:shd w:val="clear" w:color="auto" w:fill="auto"/>
            <w:noWrap/>
            <w:vAlign w:val="center"/>
            <w:hideMark/>
          </w:tcPr>
          <w:p w14:paraId="2DBD64EF"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6.82</w:t>
            </w:r>
          </w:p>
        </w:tc>
        <w:tc>
          <w:tcPr>
            <w:tcW w:w="1536" w:type="dxa"/>
            <w:tcBorders>
              <w:top w:val="nil"/>
              <w:left w:val="nil"/>
              <w:bottom w:val="nil"/>
              <w:right w:val="nil"/>
            </w:tcBorders>
            <w:shd w:val="clear" w:color="auto" w:fill="auto"/>
            <w:noWrap/>
            <w:vAlign w:val="center"/>
            <w:hideMark/>
          </w:tcPr>
          <w:p w14:paraId="55D5FF90"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3.72</w:t>
            </w:r>
          </w:p>
        </w:tc>
      </w:tr>
      <w:tr w:rsidR="0038727B" w:rsidRPr="00E21717" w14:paraId="77EE08B3" w14:textId="77777777" w:rsidTr="00552EF7">
        <w:trPr>
          <w:trHeight w:val="302"/>
        </w:trPr>
        <w:tc>
          <w:tcPr>
            <w:tcW w:w="3031" w:type="dxa"/>
            <w:tcBorders>
              <w:top w:val="nil"/>
              <w:left w:val="nil"/>
              <w:bottom w:val="nil"/>
              <w:right w:val="nil"/>
            </w:tcBorders>
            <w:shd w:val="clear" w:color="auto" w:fill="auto"/>
            <w:noWrap/>
            <w:vAlign w:val="center"/>
            <w:hideMark/>
          </w:tcPr>
          <w:p w14:paraId="35FFF90A" w14:textId="77777777" w:rsidR="0038727B" w:rsidRPr="00E21717" w:rsidRDefault="0038727B"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UniCredit</w:t>
            </w:r>
            <w:proofErr w:type="spellEnd"/>
            <w:r w:rsidRPr="00E21717">
              <w:rPr>
                <w:rFonts w:ascii="dcr10" w:eastAsia="Times New Roman" w:hAnsi="dcr10" w:cs="Times New Roman"/>
                <w:color w:val="000000"/>
                <w:sz w:val="18"/>
                <w:szCs w:val="18"/>
              </w:rPr>
              <w:t xml:space="preserve"> </w:t>
            </w:r>
            <w:proofErr w:type="spellStart"/>
            <w:r w:rsidRPr="00E21717">
              <w:rPr>
                <w:rFonts w:ascii="dcr10" w:eastAsia="Times New Roman" w:hAnsi="dcr10" w:cs="Times New Roman"/>
                <w:color w:val="000000"/>
                <w:sz w:val="18"/>
                <w:szCs w:val="18"/>
              </w:rPr>
              <w:t>S.p.A</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3801C75B"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3.40</w:t>
            </w:r>
          </w:p>
        </w:tc>
        <w:tc>
          <w:tcPr>
            <w:tcW w:w="2041" w:type="dxa"/>
            <w:tcBorders>
              <w:top w:val="nil"/>
              <w:left w:val="nil"/>
              <w:bottom w:val="nil"/>
              <w:right w:val="nil"/>
            </w:tcBorders>
            <w:shd w:val="clear" w:color="auto" w:fill="auto"/>
            <w:noWrap/>
            <w:vAlign w:val="center"/>
            <w:hideMark/>
          </w:tcPr>
          <w:p w14:paraId="3749B5EA"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20.69</w:t>
            </w:r>
          </w:p>
        </w:tc>
        <w:tc>
          <w:tcPr>
            <w:tcW w:w="1536" w:type="dxa"/>
            <w:tcBorders>
              <w:top w:val="nil"/>
              <w:left w:val="nil"/>
              <w:bottom w:val="nil"/>
              <w:right w:val="nil"/>
            </w:tcBorders>
            <w:shd w:val="clear" w:color="auto" w:fill="auto"/>
            <w:noWrap/>
            <w:vAlign w:val="center"/>
            <w:hideMark/>
          </w:tcPr>
          <w:p w14:paraId="21D4B344"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16.00</w:t>
            </w:r>
          </w:p>
        </w:tc>
      </w:tr>
      <w:tr w:rsidR="0038727B" w:rsidRPr="00E21717" w14:paraId="156DE807" w14:textId="77777777" w:rsidTr="00552EF7">
        <w:trPr>
          <w:trHeight w:val="302"/>
        </w:trPr>
        <w:tc>
          <w:tcPr>
            <w:tcW w:w="3031" w:type="dxa"/>
            <w:tcBorders>
              <w:top w:val="nil"/>
              <w:left w:val="nil"/>
              <w:bottom w:val="nil"/>
              <w:right w:val="nil"/>
            </w:tcBorders>
            <w:shd w:val="clear" w:color="auto" w:fill="auto"/>
            <w:noWrap/>
            <w:vAlign w:val="center"/>
            <w:hideMark/>
          </w:tcPr>
          <w:p w14:paraId="01D0A26F" w14:textId="77777777" w:rsidR="0038727B" w:rsidRPr="00E21717" w:rsidRDefault="0038727B"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Westpac Banking </w:t>
            </w:r>
          </w:p>
        </w:tc>
        <w:tc>
          <w:tcPr>
            <w:tcW w:w="1879" w:type="dxa"/>
            <w:tcBorders>
              <w:top w:val="nil"/>
              <w:left w:val="nil"/>
              <w:bottom w:val="nil"/>
              <w:right w:val="nil"/>
            </w:tcBorders>
            <w:shd w:val="clear" w:color="auto" w:fill="auto"/>
            <w:noWrap/>
            <w:vAlign w:val="center"/>
            <w:hideMark/>
          </w:tcPr>
          <w:p w14:paraId="3BF422EA"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1.10</w:t>
            </w:r>
          </w:p>
        </w:tc>
        <w:tc>
          <w:tcPr>
            <w:tcW w:w="2041" w:type="dxa"/>
            <w:tcBorders>
              <w:top w:val="nil"/>
              <w:left w:val="nil"/>
              <w:bottom w:val="nil"/>
              <w:right w:val="nil"/>
            </w:tcBorders>
            <w:shd w:val="clear" w:color="auto" w:fill="auto"/>
            <w:noWrap/>
            <w:vAlign w:val="center"/>
            <w:hideMark/>
          </w:tcPr>
          <w:p w14:paraId="1FEC3365"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0.51</w:t>
            </w:r>
          </w:p>
        </w:tc>
        <w:tc>
          <w:tcPr>
            <w:tcW w:w="1536" w:type="dxa"/>
            <w:tcBorders>
              <w:top w:val="nil"/>
              <w:left w:val="nil"/>
              <w:bottom w:val="nil"/>
              <w:right w:val="nil"/>
            </w:tcBorders>
            <w:shd w:val="clear" w:color="auto" w:fill="auto"/>
            <w:noWrap/>
            <w:vAlign w:val="center"/>
            <w:hideMark/>
          </w:tcPr>
          <w:p w14:paraId="437C5FA4" w14:textId="77777777" w:rsidR="0038727B" w:rsidRPr="00371459"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0.14</w:t>
            </w:r>
          </w:p>
        </w:tc>
      </w:tr>
      <w:tr w:rsidR="0038727B" w:rsidRPr="00E21717" w14:paraId="57AED68A" w14:textId="77777777" w:rsidTr="00552EF7">
        <w:trPr>
          <w:trHeight w:val="302"/>
        </w:trPr>
        <w:tc>
          <w:tcPr>
            <w:tcW w:w="3031" w:type="dxa"/>
            <w:tcBorders>
              <w:top w:val="nil"/>
              <w:left w:val="nil"/>
              <w:bottom w:val="nil"/>
              <w:right w:val="nil"/>
            </w:tcBorders>
            <w:shd w:val="clear" w:color="auto" w:fill="auto"/>
            <w:noWrap/>
            <w:vAlign w:val="center"/>
            <w:hideMark/>
          </w:tcPr>
          <w:p w14:paraId="346B1907" w14:textId="77777777" w:rsidR="0038727B" w:rsidRPr="00371459" w:rsidRDefault="0038727B" w:rsidP="00552EF7">
            <w:pPr>
              <w:rPr>
                <w:rFonts w:ascii="dcr10" w:eastAsia="Times New Roman" w:hAnsi="dcr10" w:cs="Times New Roman"/>
                <w:i/>
                <w:color w:val="000000"/>
                <w:sz w:val="17"/>
                <w:szCs w:val="17"/>
              </w:rPr>
            </w:pPr>
            <w:r w:rsidRPr="00371459">
              <w:rPr>
                <w:rFonts w:ascii="dcr10" w:eastAsia="Times New Roman" w:hAnsi="dcr10" w:cs="Times New Roman"/>
                <w:i/>
                <w:color w:val="000000"/>
                <w:sz w:val="18"/>
                <w:szCs w:val="18"/>
              </w:rPr>
              <w:t>Mean</w:t>
            </w:r>
          </w:p>
        </w:tc>
        <w:tc>
          <w:tcPr>
            <w:tcW w:w="1879" w:type="dxa"/>
            <w:tcBorders>
              <w:top w:val="nil"/>
              <w:left w:val="nil"/>
              <w:bottom w:val="nil"/>
              <w:right w:val="nil"/>
            </w:tcBorders>
            <w:shd w:val="clear" w:color="auto" w:fill="auto"/>
            <w:noWrap/>
            <w:vAlign w:val="center"/>
            <w:hideMark/>
          </w:tcPr>
          <w:p w14:paraId="0BABFC23" w14:textId="77777777" w:rsidR="0038727B" w:rsidRPr="00360B61"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6.90</w:t>
            </w:r>
          </w:p>
        </w:tc>
        <w:tc>
          <w:tcPr>
            <w:tcW w:w="2041" w:type="dxa"/>
            <w:tcBorders>
              <w:top w:val="nil"/>
              <w:left w:val="nil"/>
              <w:bottom w:val="nil"/>
              <w:right w:val="nil"/>
            </w:tcBorders>
            <w:shd w:val="clear" w:color="auto" w:fill="auto"/>
            <w:noWrap/>
            <w:vAlign w:val="center"/>
            <w:hideMark/>
          </w:tcPr>
          <w:p w14:paraId="5FF46EFB" w14:textId="77777777" w:rsidR="0038727B" w:rsidRPr="00360B61"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11.47</w:t>
            </w:r>
          </w:p>
        </w:tc>
        <w:tc>
          <w:tcPr>
            <w:tcW w:w="1536" w:type="dxa"/>
            <w:tcBorders>
              <w:top w:val="nil"/>
              <w:left w:val="nil"/>
              <w:bottom w:val="nil"/>
              <w:right w:val="nil"/>
            </w:tcBorders>
            <w:shd w:val="clear" w:color="auto" w:fill="auto"/>
            <w:noWrap/>
            <w:vAlign w:val="center"/>
            <w:hideMark/>
          </w:tcPr>
          <w:p w14:paraId="3F5269BA" w14:textId="77777777" w:rsidR="0038727B" w:rsidRPr="00360B61"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7.04</w:t>
            </w:r>
          </w:p>
        </w:tc>
      </w:tr>
      <w:tr w:rsidR="0038727B" w:rsidRPr="00E21717" w14:paraId="1801870A" w14:textId="77777777" w:rsidTr="00552EF7">
        <w:trPr>
          <w:trHeight w:val="302"/>
        </w:trPr>
        <w:tc>
          <w:tcPr>
            <w:tcW w:w="3031" w:type="dxa"/>
            <w:tcBorders>
              <w:top w:val="nil"/>
              <w:left w:val="nil"/>
              <w:bottom w:val="nil"/>
              <w:right w:val="nil"/>
            </w:tcBorders>
            <w:shd w:val="clear" w:color="auto" w:fill="auto"/>
            <w:noWrap/>
            <w:vAlign w:val="center"/>
            <w:hideMark/>
          </w:tcPr>
          <w:p w14:paraId="69696165" w14:textId="77777777" w:rsidR="0038727B" w:rsidRPr="00371459" w:rsidRDefault="0038727B" w:rsidP="00552EF7">
            <w:pPr>
              <w:rPr>
                <w:rFonts w:ascii="dcr10" w:eastAsia="Times New Roman" w:hAnsi="dcr10" w:cs="Times New Roman"/>
                <w:i/>
                <w:color w:val="000000"/>
                <w:sz w:val="17"/>
                <w:szCs w:val="17"/>
              </w:rPr>
            </w:pPr>
            <w:r w:rsidRPr="00371459">
              <w:rPr>
                <w:rFonts w:ascii="dcr10" w:eastAsia="Times New Roman" w:hAnsi="dcr10" w:cs="Times New Roman"/>
                <w:bCs/>
                <w:i/>
                <w:color w:val="000000"/>
                <w:sz w:val="18"/>
                <w:szCs w:val="18"/>
              </w:rPr>
              <w:t>Median</w:t>
            </w:r>
          </w:p>
        </w:tc>
        <w:tc>
          <w:tcPr>
            <w:tcW w:w="1879" w:type="dxa"/>
            <w:tcBorders>
              <w:top w:val="nil"/>
              <w:left w:val="nil"/>
              <w:bottom w:val="nil"/>
              <w:right w:val="nil"/>
            </w:tcBorders>
            <w:shd w:val="clear" w:color="auto" w:fill="auto"/>
            <w:noWrap/>
            <w:vAlign w:val="center"/>
            <w:hideMark/>
          </w:tcPr>
          <w:p w14:paraId="0ACA43CD" w14:textId="77777777" w:rsidR="0038727B" w:rsidRPr="00360B61"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5.38</w:t>
            </w:r>
          </w:p>
        </w:tc>
        <w:tc>
          <w:tcPr>
            <w:tcW w:w="2041" w:type="dxa"/>
            <w:tcBorders>
              <w:top w:val="nil"/>
              <w:left w:val="nil"/>
              <w:bottom w:val="nil"/>
              <w:right w:val="nil"/>
            </w:tcBorders>
            <w:shd w:val="clear" w:color="auto" w:fill="auto"/>
            <w:noWrap/>
            <w:vAlign w:val="center"/>
            <w:hideMark/>
          </w:tcPr>
          <w:p w14:paraId="0C97B65D" w14:textId="77777777" w:rsidR="0038727B" w:rsidRPr="00360B61"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10.09</w:t>
            </w:r>
          </w:p>
        </w:tc>
        <w:tc>
          <w:tcPr>
            <w:tcW w:w="1536" w:type="dxa"/>
            <w:tcBorders>
              <w:top w:val="nil"/>
              <w:left w:val="nil"/>
              <w:bottom w:val="nil"/>
              <w:right w:val="nil"/>
            </w:tcBorders>
            <w:shd w:val="clear" w:color="auto" w:fill="auto"/>
            <w:noWrap/>
            <w:vAlign w:val="center"/>
            <w:hideMark/>
          </w:tcPr>
          <w:p w14:paraId="333BCBAD" w14:textId="77777777" w:rsidR="0038727B" w:rsidRPr="00360B61" w:rsidRDefault="0038727B" w:rsidP="00552EF7">
            <w:pPr>
              <w:jc w:val="center"/>
              <w:rPr>
                <w:rFonts w:ascii="dcr10" w:eastAsia="Times New Roman" w:hAnsi="dcr10" w:cs="Times New Roman"/>
                <w:color w:val="000000"/>
                <w:sz w:val="18"/>
                <w:szCs w:val="18"/>
              </w:rPr>
            </w:pPr>
            <w:r w:rsidRPr="00360B61">
              <w:rPr>
                <w:rFonts w:ascii="dcr10" w:eastAsia="Times New Roman" w:hAnsi="dcr10" w:cs="Times New Roman"/>
                <w:color w:val="000000"/>
                <w:sz w:val="18"/>
                <w:szCs w:val="18"/>
              </w:rPr>
              <w:t>5.58</w:t>
            </w:r>
          </w:p>
        </w:tc>
      </w:tr>
      <w:tr w:rsidR="0038727B" w:rsidRPr="00E21717" w14:paraId="59C2AD42" w14:textId="77777777" w:rsidTr="00552EF7">
        <w:trPr>
          <w:trHeight w:val="302"/>
        </w:trPr>
        <w:tc>
          <w:tcPr>
            <w:tcW w:w="3031" w:type="dxa"/>
            <w:tcBorders>
              <w:top w:val="nil"/>
              <w:left w:val="nil"/>
              <w:bottom w:val="nil"/>
              <w:right w:val="nil"/>
            </w:tcBorders>
            <w:shd w:val="clear" w:color="auto" w:fill="auto"/>
            <w:noWrap/>
            <w:vAlign w:val="bottom"/>
            <w:hideMark/>
          </w:tcPr>
          <w:p w14:paraId="0DA64049" w14:textId="77777777" w:rsidR="0038727B" w:rsidRPr="00E21717" w:rsidRDefault="0038727B" w:rsidP="00552EF7">
            <w:pPr>
              <w:rPr>
                <w:rFonts w:ascii="dcr10" w:eastAsia="Times New Roman" w:hAnsi="dcr10" w:cs="Times New Roman"/>
                <w:i/>
                <w:iCs/>
                <w:color w:val="000000"/>
                <w:sz w:val="17"/>
                <w:szCs w:val="17"/>
              </w:rPr>
            </w:pPr>
            <w:r w:rsidRPr="00E21717">
              <w:rPr>
                <w:rFonts w:ascii="dcr10" w:eastAsia="Times New Roman" w:hAnsi="dcr10" w:cs="Times New Roman"/>
                <w:i/>
                <w:iCs/>
                <w:color w:val="0000FF"/>
                <w:sz w:val="18"/>
                <w:szCs w:val="18"/>
              </w:rPr>
              <w:t xml:space="preserve">Big 6 </w:t>
            </w:r>
            <w:r>
              <w:rPr>
                <w:rFonts w:ascii="dcr10" w:eastAsia="Times New Roman" w:hAnsi="dcr10" w:cs="Times New Roman"/>
                <w:i/>
                <w:iCs/>
                <w:color w:val="0000FF"/>
                <w:sz w:val="18"/>
                <w:szCs w:val="18"/>
              </w:rPr>
              <w:t>Mean</w:t>
            </w:r>
            <w:r w:rsidRPr="00E21717">
              <w:rPr>
                <w:rFonts w:ascii="dcr10" w:eastAsia="Times New Roman" w:hAnsi="dcr10" w:cs="Times New Roman"/>
                <w:i/>
                <w:iCs/>
                <w:color w:val="0000FF"/>
                <w:sz w:val="18"/>
                <w:szCs w:val="18"/>
              </w:rPr>
              <w:t xml:space="preserve"> </w:t>
            </w:r>
          </w:p>
        </w:tc>
        <w:tc>
          <w:tcPr>
            <w:tcW w:w="1879" w:type="dxa"/>
            <w:tcBorders>
              <w:top w:val="nil"/>
              <w:left w:val="nil"/>
              <w:bottom w:val="nil"/>
              <w:right w:val="nil"/>
            </w:tcBorders>
            <w:shd w:val="clear" w:color="auto" w:fill="auto"/>
            <w:noWrap/>
            <w:vAlign w:val="bottom"/>
            <w:hideMark/>
          </w:tcPr>
          <w:p w14:paraId="3DFCE618" w14:textId="77777777" w:rsidR="0038727B" w:rsidRPr="00E21717" w:rsidRDefault="0038727B" w:rsidP="00552EF7">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8.56</w:t>
            </w:r>
          </w:p>
        </w:tc>
        <w:tc>
          <w:tcPr>
            <w:tcW w:w="2041" w:type="dxa"/>
            <w:tcBorders>
              <w:top w:val="nil"/>
              <w:left w:val="nil"/>
              <w:bottom w:val="nil"/>
              <w:right w:val="nil"/>
            </w:tcBorders>
            <w:shd w:val="clear" w:color="auto" w:fill="auto"/>
            <w:noWrap/>
            <w:vAlign w:val="bottom"/>
            <w:hideMark/>
          </w:tcPr>
          <w:p w14:paraId="2A13FBB0" w14:textId="77777777" w:rsidR="0038727B" w:rsidRPr="00E21717" w:rsidRDefault="0038727B" w:rsidP="00552EF7">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13.78</w:t>
            </w:r>
          </w:p>
        </w:tc>
        <w:tc>
          <w:tcPr>
            <w:tcW w:w="1536" w:type="dxa"/>
            <w:tcBorders>
              <w:top w:val="nil"/>
              <w:left w:val="nil"/>
              <w:bottom w:val="nil"/>
              <w:right w:val="nil"/>
            </w:tcBorders>
            <w:shd w:val="clear" w:color="auto" w:fill="auto"/>
            <w:noWrap/>
            <w:vAlign w:val="bottom"/>
            <w:hideMark/>
          </w:tcPr>
          <w:p w14:paraId="5BAB6807" w14:textId="77777777" w:rsidR="0038727B" w:rsidRPr="00E21717" w:rsidRDefault="0038727B" w:rsidP="00552EF7">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6.63</w:t>
            </w:r>
          </w:p>
        </w:tc>
      </w:tr>
      <w:tr w:rsidR="0038727B" w:rsidRPr="00E21717" w14:paraId="19457223" w14:textId="77777777" w:rsidTr="00552EF7">
        <w:trPr>
          <w:trHeight w:val="302"/>
        </w:trPr>
        <w:tc>
          <w:tcPr>
            <w:tcW w:w="3031" w:type="dxa"/>
            <w:tcBorders>
              <w:top w:val="nil"/>
              <w:left w:val="nil"/>
              <w:bottom w:val="nil"/>
              <w:right w:val="nil"/>
            </w:tcBorders>
            <w:shd w:val="clear" w:color="auto" w:fill="auto"/>
            <w:noWrap/>
            <w:vAlign w:val="bottom"/>
            <w:hideMark/>
          </w:tcPr>
          <w:p w14:paraId="1C7D9937" w14:textId="77777777" w:rsidR="0038727B" w:rsidRPr="00E21717" w:rsidRDefault="0038727B" w:rsidP="00552EF7">
            <w:pPr>
              <w:rPr>
                <w:rFonts w:ascii="dcr10" w:eastAsia="Times New Roman" w:hAnsi="dcr10" w:cs="Times New Roman"/>
                <w:i/>
                <w:iCs/>
                <w:color w:val="000000"/>
                <w:sz w:val="17"/>
                <w:szCs w:val="17"/>
              </w:rPr>
            </w:pPr>
            <w:r w:rsidRPr="00E21717">
              <w:rPr>
                <w:rFonts w:ascii="dcr10" w:eastAsia="Times New Roman" w:hAnsi="dcr10" w:cs="Times New Roman"/>
                <w:i/>
                <w:iCs/>
                <w:color w:val="0000FF"/>
                <w:sz w:val="18"/>
                <w:szCs w:val="18"/>
              </w:rPr>
              <w:t xml:space="preserve">Big 6 </w:t>
            </w:r>
            <w:r>
              <w:rPr>
                <w:rFonts w:ascii="dcr10" w:eastAsia="Times New Roman" w:hAnsi="dcr10" w:cs="Times New Roman"/>
                <w:i/>
                <w:iCs/>
                <w:color w:val="0000FF"/>
                <w:sz w:val="18"/>
                <w:szCs w:val="18"/>
              </w:rPr>
              <w:t>Median</w:t>
            </w:r>
            <w:r w:rsidRPr="00E21717">
              <w:rPr>
                <w:rFonts w:ascii="dcr10" w:eastAsia="Times New Roman" w:hAnsi="dcr10" w:cs="Times New Roman"/>
                <w:i/>
                <w:iCs/>
                <w:color w:val="0000FF"/>
                <w:sz w:val="18"/>
                <w:szCs w:val="18"/>
              </w:rPr>
              <w:t xml:space="preserve"> </w:t>
            </w:r>
          </w:p>
        </w:tc>
        <w:tc>
          <w:tcPr>
            <w:tcW w:w="1879" w:type="dxa"/>
            <w:tcBorders>
              <w:top w:val="nil"/>
              <w:left w:val="nil"/>
              <w:bottom w:val="nil"/>
              <w:right w:val="nil"/>
            </w:tcBorders>
            <w:shd w:val="clear" w:color="auto" w:fill="auto"/>
            <w:noWrap/>
            <w:vAlign w:val="bottom"/>
            <w:hideMark/>
          </w:tcPr>
          <w:p w14:paraId="196B9D76" w14:textId="77777777" w:rsidR="0038727B" w:rsidRPr="00E21717" w:rsidRDefault="0038727B" w:rsidP="00552EF7">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7.42</w:t>
            </w:r>
          </w:p>
        </w:tc>
        <w:tc>
          <w:tcPr>
            <w:tcW w:w="2041" w:type="dxa"/>
            <w:tcBorders>
              <w:top w:val="nil"/>
              <w:left w:val="nil"/>
              <w:bottom w:val="nil"/>
              <w:right w:val="nil"/>
            </w:tcBorders>
            <w:shd w:val="clear" w:color="auto" w:fill="auto"/>
            <w:noWrap/>
            <w:vAlign w:val="bottom"/>
            <w:hideMark/>
          </w:tcPr>
          <w:p w14:paraId="50848079" w14:textId="77777777" w:rsidR="0038727B" w:rsidRPr="00E21717" w:rsidRDefault="0038727B" w:rsidP="00552EF7">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13.50</w:t>
            </w:r>
          </w:p>
        </w:tc>
        <w:tc>
          <w:tcPr>
            <w:tcW w:w="1536" w:type="dxa"/>
            <w:tcBorders>
              <w:top w:val="nil"/>
              <w:left w:val="nil"/>
              <w:bottom w:val="nil"/>
              <w:right w:val="nil"/>
            </w:tcBorders>
            <w:shd w:val="clear" w:color="auto" w:fill="auto"/>
            <w:noWrap/>
            <w:vAlign w:val="bottom"/>
            <w:hideMark/>
          </w:tcPr>
          <w:p w14:paraId="06417C2D" w14:textId="77777777" w:rsidR="0038727B" w:rsidRPr="00E21717" w:rsidRDefault="0038727B" w:rsidP="00552EF7">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6.54</w:t>
            </w:r>
          </w:p>
        </w:tc>
      </w:tr>
    </w:tbl>
    <w:p w14:paraId="795355D1" w14:textId="1E49BF74" w:rsidR="00466961" w:rsidRDefault="00466961"/>
    <w:p w14:paraId="619E33A8" w14:textId="77777777" w:rsidR="00422A4F" w:rsidRDefault="00422A4F"/>
    <w:p w14:paraId="0D30A0AE" w14:textId="77777777" w:rsidR="00422A4F" w:rsidRDefault="00422A4F"/>
    <w:p w14:paraId="1D90F53A" w14:textId="77777777" w:rsidR="00422A4F" w:rsidRDefault="00422A4F"/>
    <w:p w14:paraId="5D1C6685" w14:textId="77777777" w:rsidR="00422A4F" w:rsidRDefault="00422A4F"/>
    <w:p w14:paraId="2595DBDA" w14:textId="77777777" w:rsidR="00422A4F" w:rsidRDefault="00422A4F"/>
    <w:p w14:paraId="01200461" w14:textId="77777777" w:rsidR="00422A4F" w:rsidRDefault="00422A4F"/>
    <w:p w14:paraId="4454A9F8" w14:textId="77777777" w:rsidR="00422A4F" w:rsidRDefault="00422A4F"/>
    <w:p w14:paraId="7F0979CA" w14:textId="77777777" w:rsidR="00422A4F" w:rsidRDefault="00422A4F"/>
    <w:p w14:paraId="299238DD" w14:textId="77777777" w:rsidR="00422A4F" w:rsidRDefault="00422A4F"/>
    <w:p w14:paraId="699C4123" w14:textId="77777777" w:rsidR="00422A4F" w:rsidRDefault="00422A4F"/>
    <w:p w14:paraId="2A7BC72A" w14:textId="77777777" w:rsidR="00422A4F" w:rsidRDefault="00422A4F"/>
    <w:p w14:paraId="69945BDD" w14:textId="77777777" w:rsidR="00422A4F" w:rsidRDefault="00422A4F"/>
    <w:p w14:paraId="7B9523AB" w14:textId="77777777" w:rsidR="00422A4F" w:rsidRDefault="00422A4F"/>
    <w:p w14:paraId="23865707" w14:textId="77777777" w:rsidR="00422A4F" w:rsidRDefault="00422A4F"/>
    <w:p w14:paraId="73C55D6A" w14:textId="77777777" w:rsidR="00422A4F" w:rsidRDefault="00422A4F"/>
    <w:p w14:paraId="759D9C59" w14:textId="77777777" w:rsidR="00422A4F" w:rsidRDefault="00422A4F"/>
    <w:p w14:paraId="3A83F174" w14:textId="77777777" w:rsidR="00422A4F" w:rsidRDefault="00422A4F"/>
    <w:p w14:paraId="72D2B100" w14:textId="77777777" w:rsidR="00422A4F" w:rsidRDefault="00422A4F"/>
    <w:p w14:paraId="17DD403E" w14:textId="77777777" w:rsidR="00422A4F" w:rsidRDefault="00422A4F"/>
    <w:p w14:paraId="1DF64C17" w14:textId="77777777" w:rsidR="00422A4F" w:rsidRDefault="00422A4F"/>
    <w:p w14:paraId="0CD1BF5D" w14:textId="77777777" w:rsidR="00422A4F" w:rsidRDefault="00422A4F"/>
    <w:p w14:paraId="65A6FE51" w14:textId="77777777" w:rsidR="00422A4F" w:rsidRDefault="00422A4F"/>
    <w:p w14:paraId="527757B8" w14:textId="77777777" w:rsidR="00422A4F" w:rsidRDefault="00422A4F"/>
    <w:p w14:paraId="476D1612" w14:textId="77777777" w:rsidR="00422A4F" w:rsidRDefault="00422A4F"/>
    <w:p w14:paraId="3EF47D6A" w14:textId="77777777" w:rsidR="00422A4F" w:rsidRDefault="00422A4F"/>
    <w:p w14:paraId="447C3349" w14:textId="77777777" w:rsidR="00422A4F" w:rsidRDefault="00422A4F"/>
    <w:p w14:paraId="6BC840F2" w14:textId="77777777" w:rsidR="00422A4F" w:rsidRDefault="00422A4F"/>
    <w:p w14:paraId="7C70846A" w14:textId="77777777" w:rsidR="00422A4F" w:rsidRDefault="00422A4F"/>
    <w:p w14:paraId="0394C422" w14:textId="77777777" w:rsidR="00422A4F" w:rsidRDefault="00422A4F"/>
    <w:p w14:paraId="7D34F5EF" w14:textId="77777777" w:rsidR="00422A4F" w:rsidRDefault="00422A4F"/>
    <w:p w14:paraId="73CBCAC1" w14:textId="77777777" w:rsidR="00422A4F" w:rsidRDefault="00422A4F"/>
    <w:p w14:paraId="6C2E54E8" w14:textId="77777777" w:rsidR="00422A4F" w:rsidRDefault="00422A4F"/>
    <w:p w14:paraId="487C3FCB" w14:textId="77777777" w:rsidR="00422A4F" w:rsidRDefault="00422A4F"/>
    <w:p w14:paraId="61A81DCB" w14:textId="77777777" w:rsidR="00422A4F" w:rsidRDefault="00422A4F"/>
    <w:p w14:paraId="098BE6CA" w14:textId="77777777" w:rsidR="00422A4F" w:rsidRDefault="00422A4F"/>
    <w:p w14:paraId="57219864" w14:textId="77777777" w:rsidR="00422A4F" w:rsidRDefault="00422A4F"/>
    <w:p w14:paraId="3EE01955" w14:textId="77777777" w:rsidR="00422A4F" w:rsidRDefault="00422A4F"/>
    <w:tbl>
      <w:tblPr>
        <w:tblpPr w:leftFromText="180" w:rightFromText="180" w:vertAnchor="page" w:horzAnchor="page" w:tblpX="1909" w:tblpY="3241"/>
        <w:tblW w:w="8487" w:type="dxa"/>
        <w:tblLook w:val="04A0" w:firstRow="1" w:lastRow="0" w:firstColumn="1" w:lastColumn="0" w:noHBand="0" w:noVBand="1"/>
      </w:tblPr>
      <w:tblGrid>
        <w:gridCol w:w="3031"/>
        <w:gridCol w:w="1879"/>
        <w:gridCol w:w="2041"/>
        <w:gridCol w:w="1536"/>
      </w:tblGrid>
      <w:tr w:rsidR="0038727B" w:rsidRPr="00E21717" w14:paraId="45319FF1" w14:textId="77777777" w:rsidTr="00552EF7">
        <w:trPr>
          <w:trHeight w:val="302"/>
        </w:trPr>
        <w:tc>
          <w:tcPr>
            <w:tcW w:w="3031" w:type="dxa"/>
            <w:tcBorders>
              <w:top w:val="nil"/>
              <w:left w:val="nil"/>
              <w:bottom w:val="nil"/>
              <w:right w:val="nil"/>
            </w:tcBorders>
            <w:shd w:val="clear" w:color="auto" w:fill="auto"/>
            <w:noWrap/>
            <w:vAlign w:val="bottom"/>
          </w:tcPr>
          <w:p w14:paraId="18386D80" w14:textId="08D548B7" w:rsidR="0038727B" w:rsidRPr="00E21717" w:rsidRDefault="0038727B" w:rsidP="00552EF7">
            <w:pPr>
              <w:rPr>
                <w:rFonts w:ascii="dcr10" w:eastAsia="Times New Roman" w:hAnsi="dcr10" w:cs="Times New Roman"/>
                <w:i/>
                <w:iCs/>
                <w:color w:val="0000FF"/>
                <w:sz w:val="18"/>
                <w:szCs w:val="18"/>
              </w:rPr>
            </w:pPr>
          </w:p>
        </w:tc>
        <w:tc>
          <w:tcPr>
            <w:tcW w:w="1879" w:type="dxa"/>
            <w:tcBorders>
              <w:top w:val="nil"/>
              <w:left w:val="nil"/>
              <w:bottom w:val="nil"/>
              <w:right w:val="nil"/>
            </w:tcBorders>
            <w:shd w:val="clear" w:color="auto" w:fill="auto"/>
            <w:noWrap/>
            <w:vAlign w:val="bottom"/>
          </w:tcPr>
          <w:p w14:paraId="47CD9799" w14:textId="77777777" w:rsidR="0038727B" w:rsidRDefault="0038727B" w:rsidP="00552EF7">
            <w:pPr>
              <w:jc w:val="center"/>
              <w:rPr>
                <w:rFonts w:ascii="dcr10" w:eastAsia="Times New Roman" w:hAnsi="dcr10" w:cs="Times New Roman"/>
                <w:i/>
                <w:iCs/>
                <w:color w:val="0000FF"/>
                <w:sz w:val="18"/>
                <w:szCs w:val="18"/>
              </w:rPr>
            </w:pPr>
          </w:p>
        </w:tc>
        <w:tc>
          <w:tcPr>
            <w:tcW w:w="2041" w:type="dxa"/>
            <w:tcBorders>
              <w:top w:val="nil"/>
              <w:left w:val="nil"/>
              <w:bottom w:val="nil"/>
              <w:right w:val="nil"/>
            </w:tcBorders>
            <w:shd w:val="clear" w:color="auto" w:fill="auto"/>
            <w:noWrap/>
            <w:vAlign w:val="bottom"/>
          </w:tcPr>
          <w:p w14:paraId="353DA917" w14:textId="77777777" w:rsidR="0038727B" w:rsidRDefault="0038727B" w:rsidP="00552EF7">
            <w:pPr>
              <w:jc w:val="center"/>
              <w:rPr>
                <w:rFonts w:ascii="dcr10" w:eastAsia="Times New Roman" w:hAnsi="dcr10" w:cs="Times New Roman"/>
                <w:i/>
                <w:iCs/>
                <w:color w:val="0000FF"/>
                <w:sz w:val="18"/>
                <w:szCs w:val="18"/>
              </w:rPr>
            </w:pPr>
          </w:p>
        </w:tc>
        <w:tc>
          <w:tcPr>
            <w:tcW w:w="1536" w:type="dxa"/>
            <w:tcBorders>
              <w:top w:val="nil"/>
              <w:left w:val="nil"/>
              <w:bottom w:val="nil"/>
              <w:right w:val="nil"/>
            </w:tcBorders>
            <w:shd w:val="clear" w:color="auto" w:fill="auto"/>
            <w:noWrap/>
            <w:vAlign w:val="bottom"/>
          </w:tcPr>
          <w:p w14:paraId="198CAF66" w14:textId="77777777" w:rsidR="0038727B" w:rsidRDefault="0038727B" w:rsidP="00552EF7">
            <w:pPr>
              <w:jc w:val="center"/>
              <w:rPr>
                <w:rFonts w:ascii="dcr10" w:eastAsia="Times New Roman" w:hAnsi="dcr10" w:cs="Times New Roman"/>
                <w:i/>
                <w:iCs/>
                <w:color w:val="0000FF"/>
                <w:sz w:val="18"/>
                <w:szCs w:val="18"/>
              </w:rPr>
            </w:pPr>
          </w:p>
        </w:tc>
      </w:tr>
    </w:tbl>
    <w:p w14:paraId="1451855C" w14:textId="08ABA9E4" w:rsidR="00466961" w:rsidRDefault="00466961" w:rsidP="00466961">
      <w:pPr>
        <w:spacing w:after="120"/>
        <w:jc w:val="center"/>
        <w:rPr>
          <w:rFonts w:ascii="dcr10" w:hAnsi="dcr10"/>
        </w:rPr>
      </w:pPr>
      <w:r w:rsidRPr="00E21717">
        <w:rPr>
          <w:rFonts w:ascii="dcr10" w:hAnsi="dcr10"/>
        </w:rPr>
        <w:t xml:space="preserve">Table </w:t>
      </w:r>
      <w:r w:rsidR="00965EC4">
        <w:rPr>
          <w:rFonts w:ascii="dcr10" w:hAnsi="dcr10"/>
        </w:rPr>
        <w:t>IX</w:t>
      </w:r>
      <w:r w:rsidRPr="00E21717">
        <w:rPr>
          <w:rFonts w:ascii="dcr10" w:hAnsi="dcr10"/>
        </w:rPr>
        <w:br/>
      </w:r>
      <w:r>
        <w:rPr>
          <w:rFonts w:ascii="dcr10" w:hAnsi="dcr10"/>
        </w:rPr>
        <w:t xml:space="preserve">CDS Spreads for International Banks. </w:t>
      </w:r>
    </w:p>
    <w:p w14:paraId="646AD4BA" w14:textId="674869BC" w:rsidR="00466961" w:rsidRPr="00E21717" w:rsidRDefault="00466961" w:rsidP="00466961">
      <w:pPr>
        <w:jc w:val="both"/>
        <w:rPr>
          <w:rFonts w:ascii="dcr10" w:hAnsi="dcr10"/>
        </w:rPr>
      </w:pPr>
      <w:r w:rsidRPr="00E21717">
        <w:rPr>
          <w:rFonts w:ascii="dcr10" w:hAnsi="dcr10"/>
        </w:rPr>
        <w:t xml:space="preserve">This table reports </w:t>
      </w:r>
      <w:r w:rsidR="00D964DB">
        <w:rPr>
          <w:rFonts w:ascii="dcr10" w:hAnsi="dcr10"/>
        </w:rPr>
        <w:t>CDS spreads</w:t>
      </w:r>
      <w:r w:rsidRPr="00E21717">
        <w:rPr>
          <w:rFonts w:ascii="dcr10" w:hAnsi="dcr10"/>
        </w:rPr>
        <w:t xml:space="preserve"> for the thirty largest international financial institutions (excluding Chinese and American banks)</w:t>
      </w:r>
      <w:r>
        <w:rPr>
          <w:rFonts w:ascii="dcr10" w:hAnsi="dcr10"/>
        </w:rPr>
        <w:t xml:space="preserve"> for </w:t>
      </w:r>
      <w:proofErr w:type="gramStart"/>
      <w:r>
        <w:rPr>
          <w:rFonts w:ascii="dcr10" w:hAnsi="dcr10"/>
        </w:rPr>
        <w:t>whom</w:t>
      </w:r>
      <w:proofErr w:type="gramEnd"/>
      <w:r>
        <w:rPr>
          <w:rFonts w:ascii="dcr10" w:hAnsi="dcr10"/>
        </w:rPr>
        <w:t xml:space="preserve"> data is available</w:t>
      </w:r>
      <w:r w:rsidRPr="00E21717">
        <w:rPr>
          <w:rFonts w:ascii="dcr10" w:hAnsi="dcr10"/>
        </w:rPr>
        <w:t>.</w:t>
      </w:r>
      <w:r>
        <w:rPr>
          <w:rFonts w:ascii="dcr10" w:hAnsi="dcr10"/>
        </w:rPr>
        <w:t xml:space="preserve"> </w:t>
      </w:r>
      <w:r w:rsidRPr="00E21717">
        <w:rPr>
          <w:rFonts w:ascii="dcr10" w:hAnsi="dcr10"/>
        </w:rPr>
        <w:t>Pre-crisis is 200</w:t>
      </w:r>
      <w:r>
        <w:rPr>
          <w:rFonts w:ascii="dcr10" w:hAnsi="dcr10"/>
        </w:rPr>
        <w:t xml:space="preserve">2-2007 </w:t>
      </w:r>
      <w:r w:rsidRPr="00E21717">
        <w:rPr>
          <w:rFonts w:ascii="dcr10" w:hAnsi="dcr10"/>
        </w:rPr>
        <w:t>and post-crisis is 2010-2014. We also compare pre-crisis to the most recent 2014 data.</w:t>
      </w:r>
    </w:p>
    <w:tbl>
      <w:tblPr>
        <w:tblpPr w:leftFromText="180" w:rightFromText="180" w:vertAnchor="page" w:horzAnchor="page" w:tblpX="1909" w:tblpY="3241"/>
        <w:tblW w:w="8487" w:type="dxa"/>
        <w:tblLook w:val="04A0" w:firstRow="1" w:lastRow="0" w:firstColumn="1" w:lastColumn="0" w:noHBand="0" w:noVBand="1"/>
      </w:tblPr>
      <w:tblGrid>
        <w:gridCol w:w="3031"/>
        <w:gridCol w:w="1879"/>
        <w:gridCol w:w="2041"/>
        <w:gridCol w:w="1536"/>
      </w:tblGrid>
      <w:tr w:rsidR="00466961" w:rsidRPr="00E21717" w14:paraId="6D97296D" w14:textId="77777777" w:rsidTr="00552EF7">
        <w:trPr>
          <w:trHeight w:val="302"/>
        </w:trPr>
        <w:tc>
          <w:tcPr>
            <w:tcW w:w="3031" w:type="dxa"/>
            <w:tcBorders>
              <w:top w:val="single" w:sz="4" w:space="0" w:color="auto"/>
              <w:left w:val="nil"/>
              <w:bottom w:val="single" w:sz="4" w:space="0" w:color="auto"/>
              <w:right w:val="nil"/>
            </w:tcBorders>
            <w:shd w:val="clear" w:color="auto" w:fill="auto"/>
            <w:noWrap/>
            <w:vAlign w:val="center"/>
            <w:hideMark/>
          </w:tcPr>
          <w:p w14:paraId="716FD323" w14:textId="77777777" w:rsidR="00466961" w:rsidRPr="00E21717" w:rsidRDefault="00466961" w:rsidP="00552EF7">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 xml:space="preserve">Bank  </w:t>
            </w:r>
          </w:p>
        </w:tc>
        <w:tc>
          <w:tcPr>
            <w:tcW w:w="1879" w:type="dxa"/>
            <w:tcBorders>
              <w:top w:val="single" w:sz="4" w:space="0" w:color="auto"/>
              <w:left w:val="nil"/>
              <w:bottom w:val="single" w:sz="4" w:space="0" w:color="auto"/>
              <w:right w:val="nil"/>
            </w:tcBorders>
            <w:shd w:val="clear" w:color="auto" w:fill="auto"/>
            <w:noWrap/>
            <w:vAlign w:val="center"/>
            <w:hideMark/>
          </w:tcPr>
          <w:p w14:paraId="6A03D14F" w14:textId="77777777" w:rsidR="00466961" w:rsidRPr="00E21717" w:rsidRDefault="00466961" w:rsidP="00552EF7">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Pre-crisis average</w:t>
            </w:r>
          </w:p>
        </w:tc>
        <w:tc>
          <w:tcPr>
            <w:tcW w:w="2041" w:type="dxa"/>
            <w:tcBorders>
              <w:top w:val="single" w:sz="4" w:space="0" w:color="auto"/>
              <w:left w:val="nil"/>
              <w:bottom w:val="single" w:sz="4" w:space="0" w:color="auto"/>
              <w:right w:val="nil"/>
            </w:tcBorders>
            <w:shd w:val="clear" w:color="auto" w:fill="auto"/>
            <w:noWrap/>
            <w:vAlign w:val="center"/>
            <w:hideMark/>
          </w:tcPr>
          <w:p w14:paraId="2F81BD9C" w14:textId="77777777" w:rsidR="00466961" w:rsidRPr="00E21717" w:rsidRDefault="00466961" w:rsidP="00552EF7">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Post-crisis average</w:t>
            </w:r>
          </w:p>
        </w:tc>
        <w:tc>
          <w:tcPr>
            <w:tcW w:w="1536" w:type="dxa"/>
            <w:tcBorders>
              <w:top w:val="single" w:sz="4" w:space="0" w:color="auto"/>
              <w:left w:val="nil"/>
              <w:bottom w:val="single" w:sz="4" w:space="0" w:color="auto"/>
              <w:right w:val="nil"/>
            </w:tcBorders>
            <w:shd w:val="clear" w:color="auto" w:fill="auto"/>
            <w:noWrap/>
            <w:vAlign w:val="center"/>
            <w:hideMark/>
          </w:tcPr>
          <w:p w14:paraId="1F53D175" w14:textId="77777777" w:rsidR="00466961" w:rsidRPr="00E21717" w:rsidRDefault="00466961" w:rsidP="00552EF7">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2014 average</w:t>
            </w:r>
          </w:p>
        </w:tc>
      </w:tr>
      <w:tr w:rsidR="00466961" w:rsidRPr="00E21717" w14:paraId="1C64CAD1" w14:textId="77777777" w:rsidTr="00552EF7">
        <w:trPr>
          <w:trHeight w:val="302"/>
        </w:trPr>
        <w:tc>
          <w:tcPr>
            <w:tcW w:w="3031" w:type="dxa"/>
            <w:tcBorders>
              <w:top w:val="single" w:sz="4" w:space="0" w:color="auto"/>
              <w:left w:val="nil"/>
              <w:bottom w:val="nil"/>
              <w:right w:val="nil"/>
            </w:tcBorders>
            <w:shd w:val="clear" w:color="auto" w:fill="auto"/>
            <w:noWrap/>
            <w:vAlign w:val="center"/>
            <w:hideMark/>
          </w:tcPr>
          <w:p w14:paraId="5B1D3614" w14:textId="77777777" w:rsidR="00466961" w:rsidRPr="00E21717" w:rsidRDefault="00466961" w:rsidP="00552EF7">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Credit </w:t>
            </w:r>
            <w:proofErr w:type="spellStart"/>
            <w:r w:rsidRPr="00E21717">
              <w:rPr>
                <w:rFonts w:ascii="dcr10" w:eastAsia="Times New Roman" w:hAnsi="dcr10" w:cs="Times New Roman"/>
                <w:color w:val="000000"/>
                <w:sz w:val="18"/>
                <w:szCs w:val="18"/>
              </w:rPr>
              <w:t>Agricole</w:t>
            </w:r>
            <w:proofErr w:type="spellEnd"/>
            <w:r w:rsidRPr="00E21717">
              <w:rPr>
                <w:rFonts w:ascii="dcr10" w:eastAsia="Times New Roman" w:hAnsi="dcr10" w:cs="Times New Roman"/>
                <w:color w:val="000000"/>
                <w:sz w:val="18"/>
                <w:szCs w:val="18"/>
              </w:rPr>
              <w:t xml:space="preserve"> Group</w:t>
            </w:r>
          </w:p>
        </w:tc>
        <w:tc>
          <w:tcPr>
            <w:tcW w:w="1879" w:type="dxa"/>
            <w:tcBorders>
              <w:top w:val="single" w:sz="4" w:space="0" w:color="auto"/>
              <w:left w:val="nil"/>
              <w:bottom w:val="nil"/>
              <w:right w:val="nil"/>
            </w:tcBorders>
            <w:shd w:val="clear" w:color="auto" w:fill="auto"/>
            <w:noWrap/>
            <w:vAlign w:val="center"/>
            <w:hideMark/>
          </w:tcPr>
          <w:p w14:paraId="0AB0844C" w14:textId="1C811C92"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2041" w:type="dxa"/>
            <w:tcBorders>
              <w:top w:val="single" w:sz="4" w:space="0" w:color="auto"/>
              <w:left w:val="nil"/>
              <w:bottom w:val="nil"/>
              <w:right w:val="nil"/>
            </w:tcBorders>
            <w:shd w:val="clear" w:color="auto" w:fill="auto"/>
            <w:noWrap/>
            <w:vAlign w:val="center"/>
            <w:hideMark/>
          </w:tcPr>
          <w:p w14:paraId="30D001B8" w14:textId="5B1776C5"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1536" w:type="dxa"/>
            <w:tcBorders>
              <w:top w:val="single" w:sz="4" w:space="0" w:color="auto"/>
              <w:left w:val="nil"/>
              <w:bottom w:val="nil"/>
              <w:right w:val="nil"/>
            </w:tcBorders>
            <w:shd w:val="clear" w:color="auto" w:fill="auto"/>
            <w:noWrap/>
            <w:vAlign w:val="center"/>
            <w:hideMark/>
          </w:tcPr>
          <w:p w14:paraId="36DECCD5" w14:textId="499C29FD"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r>
      <w:tr w:rsidR="00466961" w:rsidRPr="00E21717" w14:paraId="78C850B1" w14:textId="77777777" w:rsidTr="00552EF7">
        <w:trPr>
          <w:trHeight w:val="302"/>
        </w:trPr>
        <w:tc>
          <w:tcPr>
            <w:tcW w:w="3031" w:type="dxa"/>
            <w:tcBorders>
              <w:top w:val="nil"/>
              <w:left w:val="nil"/>
              <w:bottom w:val="nil"/>
              <w:right w:val="nil"/>
            </w:tcBorders>
            <w:shd w:val="clear" w:color="auto" w:fill="auto"/>
            <w:noWrap/>
            <w:vAlign w:val="center"/>
            <w:hideMark/>
          </w:tcPr>
          <w:p w14:paraId="61C579AF" w14:textId="77777777" w:rsidR="00466961" w:rsidRPr="00E21717" w:rsidRDefault="00466961"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Australia &amp; NZ Bank</w:t>
            </w:r>
          </w:p>
        </w:tc>
        <w:tc>
          <w:tcPr>
            <w:tcW w:w="1879" w:type="dxa"/>
            <w:tcBorders>
              <w:top w:val="nil"/>
              <w:left w:val="nil"/>
              <w:bottom w:val="nil"/>
              <w:right w:val="nil"/>
            </w:tcBorders>
            <w:shd w:val="clear" w:color="auto" w:fill="auto"/>
            <w:noWrap/>
            <w:vAlign w:val="center"/>
            <w:hideMark/>
          </w:tcPr>
          <w:p w14:paraId="6FDA0C88" w14:textId="338A6D66"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1B1FB512" w14:textId="249D7689"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1536" w:type="dxa"/>
            <w:tcBorders>
              <w:top w:val="nil"/>
              <w:left w:val="nil"/>
              <w:bottom w:val="nil"/>
              <w:right w:val="nil"/>
            </w:tcBorders>
            <w:shd w:val="clear" w:color="auto" w:fill="auto"/>
            <w:noWrap/>
            <w:vAlign w:val="center"/>
            <w:hideMark/>
          </w:tcPr>
          <w:p w14:paraId="2A722A2A" w14:textId="31F7C4BA"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r>
      <w:tr w:rsidR="00466961" w:rsidRPr="00E21717" w14:paraId="3A73EE54" w14:textId="77777777" w:rsidTr="00552EF7">
        <w:trPr>
          <w:trHeight w:val="302"/>
        </w:trPr>
        <w:tc>
          <w:tcPr>
            <w:tcW w:w="3031" w:type="dxa"/>
            <w:tcBorders>
              <w:top w:val="nil"/>
              <w:left w:val="nil"/>
              <w:bottom w:val="nil"/>
              <w:right w:val="nil"/>
            </w:tcBorders>
            <w:shd w:val="clear" w:color="auto" w:fill="auto"/>
            <w:noWrap/>
            <w:vAlign w:val="center"/>
            <w:hideMark/>
          </w:tcPr>
          <w:p w14:paraId="37CC826C" w14:textId="77777777" w:rsidR="00466961" w:rsidRPr="00E21717" w:rsidRDefault="00466961"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Banco</w:t>
            </w:r>
            <w:proofErr w:type="spellEnd"/>
            <w:r w:rsidRPr="00E21717">
              <w:rPr>
                <w:rFonts w:ascii="dcr10" w:eastAsia="Times New Roman" w:hAnsi="dcr10" w:cs="Times New Roman"/>
                <w:color w:val="000000"/>
                <w:sz w:val="18"/>
                <w:szCs w:val="18"/>
              </w:rPr>
              <w:t xml:space="preserve"> do </w:t>
            </w:r>
            <w:proofErr w:type="spellStart"/>
            <w:r w:rsidRPr="00E21717">
              <w:rPr>
                <w:rFonts w:ascii="dcr10" w:eastAsia="Times New Roman" w:hAnsi="dcr10" w:cs="Times New Roman"/>
                <w:color w:val="000000"/>
                <w:sz w:val="18"/>
                <w:szCs w:val="18"/>
              </w:rPr>
              <w:t>Brasil</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3BB44745" w14:textId="1A4C4387"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0E1EFA56" w14:textId="6EE0F519"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71.75</w:t>
            </w:r>
          </w:p>
        </w:tc>
        <w:tc>
          <w:tcPr>
            <w:tcW w:w="1536" w:type="dxa"/>
            <w:tcBorders>
              <w:top w:val="nil"/>
              <w:left w:val="nil"/>
              <w:bottom w:val="nil"/>
              <w:right w:val="nil"/>
            </w:tcBorders>
            <w:shd w:val="clear" w:color="auto" w:fill="auto"/>
            <w:noWrap/>
            <w:vAlign w:val="center"/>
            <w:hideMark/>
          </w:tcPr>
          <w:p w14:paraId="557667AB" w14:textId="641CAF09"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244.15</w:t>
            </w:r>
          </w:p>
        </w:tc>
      </w:tr>
      <w:tr w:rsidR="00466961" w:rsidRPr="00E21717" w14:paraId="05EE400E" w14:textId="77777777" w:rsidTr="00552EF7">
        <w:trPr>
          <w:trHeight w:val="302"/>
        </w:trPr>
        <w:tc>
          <w:tcPr>
            <w:tcW w:w="3031" w:type="dxa"/>
            <w:tcBorders>
              <w:top w:val="nil"/>
              <w:left w:val="nil"/>
              <w:bottom w:val="nil"/>
              <w:right w:val="nil"/>
            </w:tcBorders>
            <w:shd w:val="clear" w:color="auto" w:fill="auto"/>
            <w:noWrap/>
            <w:vAlign w:val="center"/>
            <w:hideMark/>
          </w:tcPr>
          <w:p w14:paraId="0C8AD2E0" w14:textId="77777777" w:rsidR="00466961" w:rsidRPr="00E21717" w:rsidRDefault="00466961"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Bank of Montreal </w:t>
            </w:r>
          </w:p>
        </w:tc>
        <w:tc>
          <w:tcPr>
            <w:tcW w:w="1879" w:type="dxa"/>
            <w:tcBorders>
              <w:top w:val="nil"/>
              <w:left w:val="nil"/>
              <w:bottom w:val="nil"/>
              <w:right w:val="nil"/>
            </w:tcBorders>
            <w:shd w:val="clear" w:color="auto" w:fill="auto"/>
            <w:noWrap/>
            <w:vAlign w:val="center"/>
            <w:hideMark/>
          </w:tcPr>
          <w:p w14:paraId="44C8A45B" w14:textId="4B218136"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60560DC0" w14:textId="5ABAE5AF"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1536" w:type="dxa"/>
            <w:tcBorders>
              <w:top w:val="nil"/>
              <w:left w:val="nil"/>
              <w:bottom w:val="nil"/>
              <w:right w:val="nil"/>
            </w:tcBorders>
            <w:shd w:val="clear" w:color="auto" w:fill="auto"/>
            <w:noWrap/>
            <w:vAlign w:val="center"/>
            <w:hideMark/>
          </w:tcPr>
          <w:p w14:paraId="605A5EA8" w14:textId="65CB7797"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r>
      <w:tr w:rsidR="00466961" w:rsidRPr="00E21717" w14:paraId="48A42B81" w14:textId="77777777" w:rsidTr="00552EF7">
        <w:trPr>
          <w:trHeight w:val="302"/>
        </w:trPr>
        <w:tc>
          <w:tcPr>
            <w:tcW w:w="3031" w:type="dxa"/>
            <w:tcBorders>
              <w:top w:val="nil"/>
              <w:left w:val="nil"/>
              <w:bottom w:val="nil"/>
              <w:right w:val="nil"/>
            </w:tcBorders>
            <w:shd w:val="clear" w:color="auto" w:fill="auto"/>
            <w:noWrap/>
            <w:vAlign w:val="center"/>
            <w:hideMark/>
          </w:tcPr>
          <w:p w14:paraId="201C1794" w14:textId="77777777" w:rsidR="00466961" w:rsidRPr="00E21717" w:rsidRDefault="00466961" w:rsidP="00552EF7">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Barclays PLC</w:t>
            </w:r>
          </w:p>
        </w:tc>
        <w:tc>
          <w:tcPr>
            <w:tcW w:w="1879" w:type="dxa"/>
            <w:tcBorders>
              <w:top w:val="nil"/>
              <w:left w:val="nil"/>
              <w:bottom w:val="nil"/>
              <w:right w:val="nil"/>
            </w:tcBorders>
            <w:shd w:val="clear" w:color="auto" w:fill="auto"/>
            <w:noWrap/>
            <w:vAlign w:val="center"/>
            <w:hideMark/>
          </w:tcPr>
          <w:p w14:paraId="70C14EF9" w14:textId="055EB7F0"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42FF87DD" w14:textId="574B8F8D"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1536" w:type="dxa"/>
            <w:tcBorders>
              <w:top w:val="nil"/>
              <w:left w:val="nil"/>
              <w:bottom w:val="nil"/>
              <w:right w:val="nil"/>
            </w:tcBorders>
            <w:shd w:val="clear" w:color="auto" w:fill="auto"/>
            <w:noWrap/>
            <w:vAlign w:val="center"/>
            <w:hideMark/>
          </w:tcPr>
          <w:p w14:paraId="600C0838" w14:textId="28CD934F"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r>
      <w:tr w:rsidR="00466961" w:rsidRPr="00E21717" w14:paraId="20AC60E0" w14:textId="77777777" w:rsidTr="00552EF7">
        <w:trPr>
          <w:trHeight w:val="302"/>
        </w:trPr>
        <w:tc>
          <w:tcPr>
            <w:tcW w:w="3031" w:type="dxa"/>
            <w:tcBorders>
              <w:top w:val="nil"/>
              <w:left w:val="nil"/>
              <w:bottom w:val="nil"/>
              <w:right w:val="nil"/>
            </w:tcBorders>
            <w:shd w:val="clear" w:color="auto" w:fill="auto"/>
            <w:noWrap/>
            <w:vAlign w:val="center"/>
            <w:hideMark/>
          </w:tcPr>
          <w:p w14:paraId="5D25C190" w14:textId="77777777" w:rsidR="00466961" w:rsidRPr="00E21717" w:rsidRDefault="00466961"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BNP Paribas</w:t>
            </w:r>
          </w:p>
        </w:tc>
        <w:tc>
          <w:tcPr>
            <w:tcW w:w="1879" w:type="dxa"/>
            <w:tcBorders>
              <w:top w:val="nil"/>
              <w:left w:val="nil"/>
              <w:bottom w:val="nil"/>
              <w:right w:val="nil"/>
            </w:tcBorders>
            <w:shd w:val="clear" w:color="auto" w:fill="auto"/>
            <w:noWrap/>
            <w:vAlign w:val="center"/>
            <w:hideMark/>
          </w:tcPr>
          <w:p w14:paraId="0C7F9904" w14:textId="6506DFB8"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7.59</w:t>
            </w:r>
          </w:p>
        </w:tc>
        <w:tc>
          <w:tcPr>
            <w:tcW w:w="2041" w:type="dxa"/>
            <w:tcBorders>
              <w:top w:val="nil"/>
              <w:left w:val="nil"/>
              <w:bottom w:val="nil"/>
              <w:right w:val="nil"/>
            </w:tcBorders>
            <w:shd w:val="clear" w:color="auto" w:fill="auto"/>
            <w:noWrap/>
            <w:vAlign w:val="center"/>
            <w:hideMark/>
          </w:tcPr>
          <w:p w14:paraId="161DF0EB" w14:textId="0633861E"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134.20</w:t>
            </w:r>
          </w:p>
        </w:tc>
        <w:tc>
          <w:tcPr>
            <w:tcW w:w="1536" w:type="dxa"/>
            <w:tcBorders>
              <w:top w:val="nil"/>
              <w:left w:val="nil"/>
              <w:bottom w:val="nil"/>
              <w:right w:val="nil"/>
            </w:tcBorders>
            <w:shd w:val="clear" w:color="auto" w:fill="auto"/>
            <w:noWrap/>
            <w:vAlign w:val="center"/>
            <w:hideMark/>
          </w:tcPr>
          <w:p w14:paraId="15B01F45" w14:textId="1925FAF0"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69.29</w:t>
            </w:r>
          </w:p>
        </w:tc>
      </w:tr>
      <w:tr w:rsidR="00466961" w:rsidRPr="00E21717" w14:paraId="1C5B408D" w14:textId="77777777" w:rsidTr="00552EF7">
        <w:trPr>
          <w:trHeight w:val="302"/>
        </w:trPr>
        <w:tc>
          <w:tcPr>
            <w:tcW w:w="3031" w:type="dxa"/>
            <w:tcBorders>
              <w:top w:val="nil"/>
              <w:left w:val="nil"/>
              <w:bottom w:val="nil"/>
              <w:right w:val="nil"/>
            </w:tcBorders>
            <w:shd w:val="clear" w:color="auto" w:fill="auto"/>
            <w:noWrap/>
            <w:vAlign w:val="center"/>
            <w:hideMark/>
          </w:tcPr>
          <w:p w14:paraId="100D3DCE" w14:textId="77777777" w:rsidR="00466961" w:rsidRPr="00E21717" w:rsidRDefault="00466961" w:rsidP="00552EF7">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Commerzbank </w:t>
            </w:r>
          </w:p>
        </w:tc>
        <w:tc>
          <w:tcPr>
            <w:tcW w:w="1879" w:type="dxa"/>
            <w:tcBorders>
              <w:top w:val="nil"/>
              <w:left w:val="nil"/>
              <w:bottom w:val="nil"/>
              <w:right w:val="nil"/>
            </w:tcBorders>
            <w:shd w:val="clear" w:color="auto" w:fill="auto"/>
            <w:noWrap/>
            <w:vAlign w:val="center"/>
            <w:hideMark/>
          </w:tcPr>
          <w:p w14:paraId="6708C5CD" w14:textId="3FB554EF"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56992BA1" w14:textId="5F623D78"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1536" w:type="dxa"/>
            <w:tcBorders>
              <w:top w:val="nil"/>
              <w:left w:val="nil"/>
              <w:bottom w:val="nil"/>
              <w:right w:val="nil"/>
            </w:tcBorders>
            <w:shd w:val="clear" w:color="auto" w:fill="auto"/>
            <w:noWrap/>
            <w:vAlign w:val="center"/>
            <w:hideMark/>
          </w:tcPr>
          <w:p w14:paraId="4D2B9761" w14:textId="040310F8"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r>
      <w:tr w:rsidR="00466961" w:rsidRPr="00E21717" w14:paraId="16BE9138" w14:textId="77777777" w:rsidTr="00552EF7">
        <w:trPr>
          <w:trHeight w:val="302"/>
        </w:trPr>
        <w:tc>
          <w:tcPr>
            <w:tcW w:w="3031" w:type="dxa"/>
            <w:tcBorders>
              <w:top w:val="nil"/>
              <w:left w:val="nil"/>
              <w:bottom w:val="nil"/>
              <w:right w:val="nil"/>
            </w:tcBorders>
            <w:shd w:val="clear" w:color="auto" w:fill="auto"/>
            <w:noWrap/>
            <w:vAlign w:val="center"/>
            <w:hideMark/>
          </w:tcPr>
          <w:p w14:paraId="73C832AB" w14:textId="77777777" w:rsidR="00466961" w:rsidRPr="00E21717" w:rsidRDefault="00466961"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Credit Suisse Group </w:t>
            </w:r>
          </w:p>
        </w:tc>
        <w:tc>
          <w:tcPr>
            <w:tcW w:w="1879" w:type="dxa"/>
            <w:tcBorders>
              <w:top w:val="nil"/>
              <w:left w:val="nil"/>
              <w:bottom w:val="nil"/>
              <w:right w:val="nil"/>
            </w:tcBorders>
            <w:shd w:val="clear" w:color="auto" w:fill="auto"/>
            <w:noWrap/>
            <w:vAlign w:val="center"/>
            <w:hideMark/>
          </w:tcPr>
          <w:p w14:paraId="624CB4F8" w14:textId="46E8B09E"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13.01</w:t>
            </w:r>
          </w:p>
        </w:tc>
        <w:tc>
          <w:tcPr>
            <w:tcW w:w="2041" w:type="dxa"/>
            <w:tcBorders>
              <w:top w:val="nil"/>
              <w:left w:val="nil"/>
              <w:bottom w:val="nil"/>
              <w:right w:val="nil"/>
            </w:tcBorders>
            <w:shd w:val="clear" w:color="auto" w:fill="auto"/>
            <w:noWrap/>
            <w:vAlign w:val="center"/>
            <w:hideMark/>
          </w:tcPr>
          <w:p w14:paraId="33C768D5" w14:textId="7967167C"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105.25</w:t>
            </w:r>
          </w:p>
        </w:tc>
        <w:tc>
          <w:tcPr>
            <w:tcW w:w="1536" w:type="dxa"/>
            <w:tcBorders>
              <w:top w:val="nil"/>
              <w:left w:val="nil"/>
              <w:bottom w:val="nil"/>
              <w:right w:val="nil"/>
            </w:tcBorders>
            <w:shd w:val="clear" w:color="auto" w:fill="auto"/>
            <w:noWrap/>
            <w:vAlign w:val="center"/>
            <w:hideMark/>
          </w:tcPr>
          <w:p w14:paraId="040D8BF3" w14:textId="3A12250F"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60.60</w:t>
            </w:r>
          </w:p>
        </w:tc>
      </w:tr>
      <w:tr w:rsidR="00466961" w:rsidRPr="00E21717" w14:paraId="659A9029" w14:textId="77777777" w:rsidTr="00552EF7">
        <w:trPr>
          <w:trHeight w:val="302"/>
        </w:trPr>
        <w:tc>
          <w:tcPr>
            <w:tcW w:w="3031" w:type="dxa"/>
            <w:tcBorders>
              <w:top w:val="nil"/>
              <w:left w:val="nil"/>
              <w:bottom w:val="nil"/>
              <w:right w:val="nil"/>
            </w:tcBorders>
            <w:shd w:val="clear" w:color="auto" w:fill="auto"/>
            <w:noWrap/>
            <w:vAlign w:val="center"/>
            <w:hideMark/>
          </w:tcPr>
          <w:p w14:paraId="27D5BDB4" w14:textId="77777777" w:rsidR="00466961" w:rsidRPr="00E21717" w:rsidRDefault="00466961"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Danske</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4DDB6A3F" w14:textId="2A29AF48"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7587D424" w14:textId="7B4F21D7"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1536" w:type="dxa"/>
            <w:tcBorders>
              <w:top w:val="nil"/>
              <w:left w:val="nil"/>
              <w:bottom w:val="nil"/>
              <w:right w:val="nil"/>
            </w:tcBorders>
            <w:shd w:val="clear" w:color="auto" w:fill="auto"/>
            <w:noWrap/>
            <w:vAlign w:val="center"/>
            <w:hideMark/>
          </w:tcPr>
          <w:p w14:paraId="76E26070" w14:textId="461947B6"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r>
      <w:tr w:rsidR="00466961" w:rsidRPr="00E21717" w14:paraId="63585853" w14:textId="77777777" w:rsidTr="00552EF7">
        <w:trPr>
          <w:trHeight w:val="302"/>
        </w:trPr>
        <w:tc>
          <w:tcPr>
            <w:tcW w:w="3031" w:type="dxa"/>
            <w:tcBorders>
              <w:top w:val="nil"/>
              <w:left w:val="nil"/>
              <w:bottom w:val="nil"/>
              <w:right w:val="nil"/>
            </w:tcBorders>
            <w:shd w:val="clear" w:color="auto" w:fill="auto"/>
            <w:noWrap/>
            <w:vAlign w:val="center"/>
            <w:hideMark/>
          </w:tcPr>
          <w:p w14:paraId="75996F40" w14:textId="77777777" w:rsidR="00466961" w:rsidRPr="00E21717" w:rsidRDefault="00466961"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Deutsche Bank </w:t>
            </w:r>
          </w:p>
        </w:tc>
        <w:tc>
          <w:tcPr>
            <w:tcW w:w="1879" w:type="dxa"/>
            <w:tcBorders>
              <w:top w:val="nil"/>
              <w:left w:val="nil"/>
              <w:bottom w:val="nil"/>
              <w:right w:val="nil"/>
            </w:tcBorders>
            <w:shd w:val="clear" w:color="auto" w:fill="auto"/>
            <w:noWrap/>
            <w:vAlign w:val="center"/>
            <w:hideMark/>
          </w:tcPr>
          <w:p w14:paraId="1A4DDBD8" w14:textId="652DFA39"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37F7AF08" w14:textId="0C4B60D7"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1536" w:type="dxa"/>
            <w:tcBorders>
              <w:top w:val="nil"/>
              <w:left w:val="nil"/>
              <w:bottom w:val="nil"/>
              <w:right w:val="nil"/>
            </w:tcBorders>
            <w:shd w:val="clear" w:color="auto" w:fill="auto"/>
            <w:noWrap/>
            <w:vAlign w:val="center"/>
            <w:hideMark/>
          </w:tcPr>
          <w:p w14:paraId="34029D46" w14:textId="177AA382"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r>
      <w:tr w:rsidR="00466961" w:rsidRPr="00E21717" w14:paraId="366E0CCD" w14:textId="77777777" w:rsidTr="00552EF7">
        <w:trPr>
          <w:trHeight w:val="302"/>
        </w:trPr>
        <w:tc>
          <w:tcPr>
            <w:tcW w:w="3031" w:type="dxa"/>
            <w:tcBorders>
              <w:top w:val="nil"/>
              <w:left w:val="nil"/>
              <w:bottom w:val="nil"/>
              <w:right w:val="nil"/>
            </w:tcBorders>
            <w:shd w:val="clear" w:color="auto" w:fill="auto"/>
            <w:noWrap/>
            <w:vAlign w:val="center"/>
            <w:hideMark/>
          </w:tcPr>
          <w:p w14:paraId="4F415672" w14:textId="77777777" w:rsidR="00466961" w:rsidRPr="00E21717" w:rsidRDefault="00466961" w:rsidP="00552EF7">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HSBC Holdings</w:t>
            </w:r>
          </w:p>
        </w:tc>
        <w:tc>
          <w:tcPr>
            <w:tcW w:w="1879" w:type="dxa"/>
            <w:tcBorders>
              <w:top w:val="nil"/>
              <w:left w:val="nil"/>
              <w:bottom w:val="nil"/>
              <w:right w:val="nil"/>
            </w:tcBorders>
            <w:shd w:val="clear" w:color="auto" w:fill="auto"/>
            <w:noWrap/>
            <w:vAlign w:val="center"/>
            <w:hideMark/>
          </w:tcPr>
          <w:p w14:paraId="189E3BA4" w14:textId="0A78475C"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6.81</w:t>
            </w:r>
          </w:p>
        </w:tc>
        <w:tc>
          <w:tcPr>
            <w:tcW w:w="2041" w:type="dxa"/>
            <w:tcBorders>
              <w:top w:val="nil"/>
              <w:left w:val="nil"/>
              <w:bottom w:val="nil"/>
              <w:right w:val="nil"/>
            </w:tcBorders>
            <w:shd w:val="clear" w:color="auto" w:fill="auto"/>
            <w:noWrap/>
            <w:vAlign w:val="center"/>
            <w:hideMark/>
          </w:tcPr>
          <w:p w14:paraId="0962CF75" w14:textId="13DD73DD"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96.94</w:t>
            </w:r>
          </w:p>
        </w:tc>
        <w:tc>
          <w:tcPr>
            <w:tcW w:w="1536" w:type="dxa"/>
            <w:tcBorders>
              <w:top w:val="nil"/>
              <w:left w:val="nil"/>
              <w:bottom w:val="nil"/>
              <w:right w:val="nil"/>
            </w:tcBorders>
            <w:shd w:val="clear" w:color="auto" w:fill="auto"/>
            <w:noWrap/>
            <w:vAlign w:val="center"/>
            <w:hideMark/>
          </w:tcPr>
          <w:p w14:paraId="2EBD7CEB" w14:textId="56D41374"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57.21</w:t>
            </w:r>
          </w:p>
        </w:tc>
      </w:tr>
      <w:tr w:rsidR="00466961" w:rsidRPr="00E21717" w14:paraId="3FF96B7D" w14:textId="77777777" w:rsidTr="00552EF7">
        <w:trPr>
          <w:trHeight w:val="302"/>
        </w:trPr>
        <w:tc>
          <w:tcPr>
            <w:tcW w:w="3031" w:type="dxa"/>
            <w:tcBorders>
              <w:top w:val="nil"/>
              <w:left w:val="nil"/>
              <w:bottom w:val="nil"/>
              <w:right w:val="nil"/>
            </w:tcBorders>
            <w:shd w:val="clear" w:color="auto" w:fill="auto"/>
            <w:noWrap/>
            <w:vAlign w:val="center"/>
            <w:hideMark/>
          </w:tcPr>
          <w:p w14:paraId="36EDEE9D" w14:textId="77777777" w:rsidR="00466961" w:rsidRPr="00E21717" w:rsidRDefault="00466961"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ING Bank N.V. </w:t>
            </w:r>
          </w:p>
        </w:tc>
        <w:tc>
          <w:tcPr>
            <w:tcW w:w="1879" w:type="dxa"/>
            <w:tcBorders>
              <w:top w:val="nil"/>
              <w:left w:val="nil"/>
              <w:bottom w:val="nil"/>
              <w:right w:val="nil"/>
            </w:tcBorders>
            <w:shd w:val="clear" w:color="auto" w:fill="auto"/>
            <w:noWrap/>
            <w:vAlign w:val="center"/>
            <w:hideMark/>
          </w:tcPr>
          <w:p w14:paraId="60E7C437" w14:textId="5EBDE37C"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7.97</w:t>
            </w:r>
          </w:p>
        </w:tc>
        <w:tc>
          <w:tcPr>
            <w:tcW w:w="2041" w:type="dxa"/>
            <w:tcBorders>
              <w:top w:val="nil"/>
              <w:left w:val="nil"/>
              <w:bottom w:val="nil"/>
              <w:right w:val="nil"/>
            </w:tcBorders>
            <w:shd w:val="clear" w:color="auto" w:fill="auto"/>
            <w:noWrap/>
            <w:vAlign w:val="center"/>
            <w:hideMark/>
          </w:tcPr>
          <w:p w14:paraId="365F6140" w14:textId="2B1FA813"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126.37</w:t>
            </w:r>
          </w:p>
        </w:tc>
        <w:tc>
          <w:tcPr>
            <w:tcW w:w="1536" w:type="dxa"/>
            <w:tcBorders>
              <w:top w:val="nil"/>
              <w:left w:val="nil"/>
              <w:bottom w:val="nil"/>
              <w:right w:val="nil"/>
            </w:tcBorders>
            <w:shd w:val="clear" w:color="auto" w:fill="auto"/>
            <w:noWrap/>
            <w:vAlign w:val="center"/>
            <w:hideMark/>
          </w:tcPr>
          <w:p w14:paraId="0422A3FA" w14:textId="5EF537C8"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63.12</w:t>
            </w:r>
          </w:p>
        </w:tc>
      </w:tr>
      <w:tr w:rsidR="00466961" w:rsidRPr="00E21717" w14:paraId="1EAA63B8" w14:textId="77777777" w:rsidTr="00552EF7">
        <w:trPr>
          <w:trHeight w:val="302"/>
        </w:trPr>
        <w:tc>
          <w:tcPr>
            <w:tcW w:w="3031" w:type="dxa"/>
            <w:tcBorders>
              <w:top w:val="nil"/>
              <w:left w:val="nil"/>
              <w:bottom w:val="nil"/>
              <w:right w:val="nil"/>
            </w:tcBorders>
            <w:shd w:val="clear" w:color="auto" w:fill="auto"/>
            <w:noWrap/>
            <w:vAlign w:val="center"/>
            <w:hideMark/>
          </w:tcPr>
          <w:p w14:paraId="5E9D60B1" w14:textId="77777777" w:rsidR="00466961" w:rsidRPr="00E21717" w:rsidRDefault="00466961"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Intesa</w:t>
            </w:r>
            <w:proofErr w:type="spellEnd"/>
            <w:r w:rsidRPr="00E21717">
              <w:rPr>
                <w:rFonts w:ascii="dcr10" w:eastAsia="Times New Roman" w:hAnsi="dcr10" w:cs="Times New Roman"/>
                <w:color w:val="000000"/>
                <w:sz w:val="18"/>
                <w:szCs w:val="18"/>
              </w:rPr>
              <w:t xml:space="preserve"> </w:t>
            </w:r>
            <w:proofErr w:type="spellStart"/>
            <w:r w:rsidRPr="00E21717">
              <w:rPr>
                <w:rFonts w:ascii="dcr10" w:eastAsia="Times New Roman" w:hAnsi="dcr10" w:cs="Times New Roman"/>
                <w:color w:val="000000"/>
                <w:sz w:val="18"/>
                <w:szCs w:val="18"/>
              </w:rPr>
              <w:t>Sanpaolo</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56934EAD" w14:textId="146D5B2B"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10.78</w:t>
            </w:r>
          </w:p>
        </w:tc>
        <w:tc>
          <w:tcPr>
            <w:tcW w:w="2041" w:type="dxa"/>
            <w:tcBorders>
              <w:top w:val="nil"/>
              <w:left w:val="nil"/>
              <w:bottom w:val="nil"/>
              <w:right w:val="nil"/>
            </w:tcBorders>
            <w:shd w:val="clear" w:color="auto" w:fill="auto"/>
            <w:noWrap/>
            <w:vAlign w:val="center"/>
            <w:hideMark/>
          </w:tcPr>
          <w:p w14:paraId="6C3E1DA9" w14:textId="54EA16B0"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230.74</w:t>
            </w:r>
          </w:p>
        </w:tc>
        <w:tc>
          <w:tcPr>
            <w:tcW w:w="1536" w:type="dxa"/>
            <w:tcBorders>
              <w:top w:val="nil"/>
              <w:left w:val="nil"/>
              <w:bottom w:val="nil"/>
              <w:right w:val="nil"/>
            </w:tcBorders>
            <w:shd w:val="clear" w:color="auto" w:fill="auto"/>
            <w:noWrap/>
            <w:vAlign w:val="center"/>
            <w:hideMark/>
          </w:tcPr>
          <w:p w14:paraId="2604BBEE" w14:textId="7AA35D44"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100.55</w:t>
            </w:r>
          </w:p>
        </w:tc>
      </w:tr>
      <w:tr w:rsidR="00466961" w:rsidRPr="00E21717" w14:paraId="0614E2C1" w14:textId="77777777" w:rsidTr="00552EF7">
        <w:trPr>
          <w:trHeight w:val="302"/>
        </w:trPr>
        <w:tc>
          <w:tcPr>
            <w:tcW w:w="3031" w:type="dxa"/>
            <w:tcBorders>
              <w:top w:val="nil"/>
              <w:left w:val="nil"/>
              <w:bottom w:val="nil"/>
              <w:right w:val="nil"/>
            </w:tcBorders>
            <w:shd w:val="clear" w:color="auto" w:fill="auto"/>
            <w:noWrap/>
            <w:vAlign w:val="center"/>
            <w:hideMark/>
          </w:tcPr>
          <w:p w14:paraId="09C03D8C" w14:textId="77777777" w:rsidR="00466961" w:rsidRPr="00E21717" w:rsidRDefault="00466961"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Lloyds Banking Group </w:t>
            </w:r>
          </w:p>
        </w:tc>
        <w:tc>
          <w:tcPr>
            <w:tcW w:w="1879" w:type="dxa"/>
            <w:tcBorders>
              <w:top w:val="nil"/>
              <w:left w:val="nil"/>
              <w:bottom w:val="nil"/>
              <w:right w:val="nil"/>
            </w:tcBorders>
            <w:shd w:val="clear" w:color="auto" w:fill="auto"/>
            <w:noWrap/>
            <w:vAlign w:val="center"/>
            <w:hideMark/>
          </w:tcPr>
          <w:p w14:paraId="2F05E413" w14:textId="763A95F9"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100B79EF" w14:textId="3642386D"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1536" w:type="dxa"/>
            <w:tcBorders>
              <w:top w:val="nil"/>
              <w:left w:val="nil"/>
              <w:bottom w:val="nil"/>
              <w:right w:val="nil"/>
            </w:tcBorders>
            <w:shd w:val="clear" w:color="auto" w:fill="auto"/>
            <w:noWrap/>
            <w:vAlign w:val="center"/>
            <w:hideMark/>
          </w:tcPr>
          <w:p w14:paraId="23516ED0" w14:textId="29E0397D"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r>
      <w:tr w:rsidR="00466961" w:rsidRPr="00E21717" w14:paraId="63013B03" w14:textId="77777777" w:rsidTr="00552EF7">
        <w:trPr>
          <w:trHeight w:val="302"/>
        </w:trPr>
        <w:tc>
          <w:tcPr>
            <w:tcW w:w="3031" w:type="dxa"/>
            <w:tcBorders>
              <w:top w:val="nil"/>
              <w:left w:val="nil"/>
              <w:bottom w:val="nil"/>
              <w:right w:val="nil"/>
            </w:tcBorders>
            <w:shd w:val="clear" w:color="auto" w:fill="auto"/>
            <w:noWrap/>
            <w:vAlign w:val="center"/>
            <w:hideMark/>
          </w:tcPr>
          <w:p w14:paraId="6A4BBAA3" w14:textId="77777777" w:rsidR="00466961" w:rsidRPr="00E21717" w:rsidRDefault="00466961" w:rsidP="00552EF7">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Mitsubishi Financial Group </w:t>
            </w:r>
          </w:p>
        </w:tc>
        <w:tc>
          <w:tcPr>
            <w:tcW w:w="1879" w:type="dxa"/>
            <w:tcBorders>
              <w:top w:val="nil"/>
              <w:left w:val="nil"/>
              <w:bottom w:val="nil"/>
              <w:right w:val="nil"/>
            </w:tcBorders>
            <w:shd w:val="clear" w:color="auto" w:fill="auto"/>
            <w:noWrap/>
            <w:vAlign w:val="center"/>
            <w:hideMark/>
          </w:tcPr>
          <w:p w14:paraId="7643E5B7" w14:textId="2FFA586C"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25D089E7" w14:textId="0EE526EA"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1536" w:type="dxa"/>
            <w:tcBorders>
              <w:top w:val="nil"/>
              <w:left w:val="nil"/>
              <w:bottom w:val="nil"/>
              <w:right w:val="nil"/>
            </w:tcBorders>
            <w:shd w:val="clear" w:color="auto" w:fill="auto"/>
            <w:noWrap/>
            <w:vAlign w:val="center"/>
            <w:hideMark/>
          </w:tcPr>
          <w:p w14:paraId="4C473676" w14:textId="16007FBF"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r>
      <w:tr w:rsidR="00466961" w:rsidRPr="00E21717" w14:paraId="46208A37" w14:textId="77777777" w:rsidTr="00552EF7">
        <w:trPr>
          <w:trHeight w:val="302"/>
        </w:trPr>
        <w:tc>
          <w:tcPr>
            <w:tcW w:w="3031" w:type="dxa"/>
            <w:tcBorders>
              <w:top w:val="nil"/>
              <w:left w:val="nil"/>
              <w:bottom w:val="nil"/>
              <w:right w:val="nil"/>
            </w:tcBorders>
            <w:shd w:val="clear" w:color="auto" w:fill="auto"/>
            <w:noWrap/>
            <w:vAlign w:val="center"/>
            <w:hideMark/>
          </w:tcPr>
          <w:p w14:paraId="4141BC61" w14:textId="77777777" w:rsidR="00466961" w:rsidRPr="00E21717" w:rsidRDefault="00466961"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Mizuho Financial Group </w:t>
            </w:r>
          </w:p>
        </w:tc>
        <w:tc>
          <w:tcPr>
            <w:tcW w:w="1879" w:type="dxa"/>
            <w:tcBorders>
              <w:top w:val="nil"/>
              <w:left w:val="nil"/>
              <w:bottom w:val="nil"/>
              <w:right w:val="nil"/>
            </w:tcBorders>
            <w:shd w:val="clear" w:color="auto" w:fill="auto"/>
            <w:noWrap/>
            <w:vAlign w:val="center"/>
            <w:hideMark/>
          </w:tcPr>
          <w:p w14:paraId="11E4AA5C" w14:textId="6A4829C5"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0C684C17" w14:textId="4D229E5B"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1536" w:type="dxa"/>
            <w:tcBorders>
              <w:top w:val="nil"/>
              <w:left w:val="nil"/>
              <w:bottom w:val="nil"/>
              <w:right w:val="nil"/>
            </w:tcBorders>
            <w:shd w:val="clear" w:color="auto" w:fill="auto"/>
            <w:noWrap/>
            <w:vAlign w:val="center"/>
            <w:hideMark/>
          </w:tcPr>
          <w:p w14:paraId="183BB878" w14:textId="02243E35"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r>
      <w:tr w:rsidR="00466961" w:rsidRPr="00E21717" w14:paraId="6DAD32BD" w14:textId="77777777" w:rsidTr="00552EF7">
        <w:trPr>
          <w:trHeight w:val="302"/>
        </w:trPr>
        <w:tc>
          <w:tcPr>
            <w:tcW w:w="3031" w:type="dxa"/>
            <w:tcBorders>
              <w:top w:val="nil"/>
              <w:left w:val="nil"/>
              <w:bottom w:val="nil"/>
              <w:right w:val="nil"/>
            </w:tcBorders>
            <w:shd w:val="clear" w:color="auto" w:fill="auto"/>
            <w:noWrap/>
            <w:vAlign w:val="center"/>
            <w:hideMark/>
          </w:tcPr>
          <w:p w14:paraId="696349C7" w14:textId="77777777" w:rsidR="00466961" w:rsidRPr="00E21717" w:rsidRDefault="00466961"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Natixis</w:t>
            </w:r>
            <w:proofErr w:type="spellEnd"/>
          </w:p>
        </w:tc>
        <w:tc>
          <w:tcPr>
            <w:tcW w:w="1879" w:type="dxa"/>
            <w:tcBorders>
              <w:top w:val="nil"/>
              <w:left w:val="nil"/>
              <w:bottom w:val="nil"/>
              <w:right w:val="nil"/>
            </w:tcBorders>
            <w:shd w:val="clear" w:color="auto" w:fill="auto"/>
            <w:noWrap/>
            <w:vAlign w:val="center"/>
            <w:hideMark/>
          </w:tcPr>
          <w:p w14:paraId="2112436B" w14:textId="1836C587"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54B11778" w14:textId="618374D0"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1536" w:type="dxa"/>
            <w:tcBorders>
              <w:top w:val="nil"/>
              <w:left w:val="nil"/>
              <w:bottom w:val="nil"/>
              <w:right w:val="nil"/>
            </w:tcBorders>
            <w:shd w:val="clear" w:color="auto" w:fill="auto"/>
            <w:noWrap/>
            <w:vAlign w:val="center"/>
            <w:hideMark/>
          </w:tcPr>
          <w:p w14:paraId="28DE27E5" w14:textId="36999E52"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r>
      <w:tr w:rsidR="00466961" w:rsidRPr="00E21717" w14:paraId="0299B1AF" w14:textId="77777777" w:rsidTr="00552EF7">
        <w:trPr>
          <w:trHeight w:val="282"/>
        </w:trPr>
        <w:tc>
          <w:tcPr>
            <w:tcW w:w="3031" w:type="dxa"/>
            <w:tcBorders>
              <w:top w:val="nil"/>
              <w:left w:val="nil"/>
              <w:bottom w:val="nil"/>
              <w:right w:val="nil"/>
            </w:tcBorders>
            <w:shd w:val="clear" w:color="auto" w:fill="auto"/>
            <w:noWrap/>
            <w:vAlign w:val="center"/>
            <w:hideMark/>
          </w:tcPr>
          <w:p w14:paraId="28805F7E" w14:textId="77777777" w:rsidR="00466961" w:rsidRPr="00E21717" w:rsidRDefault="00466961"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National Australia Bank </w:t>
            </w:r>
          </w:p>
        </w:tc>
        <w:tc>
          <w:tcPr>
            <w:tcW w:w="1879" w:type="dxa"/>
            <w:tcBorders>
              <w:top w:val="nil"/>
              <w:left w:val="nil"/>
              <w:bottom w:val="nil"/>
              <w:right w:val="nil"/>
            </w:tcBorders>
            <w:shd w:val="clear" w:color="auto" w:fill="auto"/>
            <w:noWrap/>
            <w:vAlign w:val="center"/>
            <w:hideMark/>
          </w:tcPr>
          <w:p w14:paraId="5FDC2EBA" w14:textId="47FC560E"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8.13</w:t>
            </w:r>
          </w:p>
        </w:tc>
        <w:tc>
          <w:tcPr>
            <w:tcW w:w="2041" w:type="dxa"/>
            <w:tcBorders>
              <w:top w:val="nil"/>
              <w:left w:val="nil"/>
              <w:bottom w:val="nil"/>
              <w:right w:val="nil"/>
            </w:tcBorders>
            <w:shd w:val="clear" w:color="auto" w:fill="auto"/>
            <w:noWrap/>
            <w:vAlign w:val="center"/>
            <w:hideMark/>
          </w:tcPr>
          <w:p w14:paraId="1CF97A20" w14:textId="2F21BE84"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110.14</w:t>
            </w:r>
          </w:p>
        </w:tc>
        <w:tc>
          <w:tcPr>
            <w:tcW w:w="1536" w:type="dxa"/>
            <w:tcBorders>
              <w:top w:val="nil"/>
              <w:left w:val="nil"/>
              <w:bottom w:val="nil"/>
              <w:right w:val="nil"/>
            </w:tcBorders>
            <w:shd w:val="clear" w:color="auto" w:fill="auto"/>
            <w:noWrap/>
            <w:vAlign w:val="center"/>
            <w:hideMark/>
          </w:tcPr>
          <w:p w14:paraId="29CEEE53" w14:textId="5848BC55"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62.76</w:t>
            </w:r>
          </w:p>
        </w:tc>
      </w:tr>
      <w:tr w:rsidR="00466961" w:rsidRPr="00E21717" w14:paraId="657A4C74" w14:textId="77777777" w:rsidTr="00552EF7">
        <w:trPr>
          <w:trHeight w:val="302"/>
        </w:trPr>
        <w:tc>
          <w:tcPr>
            <w:tcW w:w="3031" w:type="dxa"/>
            <w:tcBorders>
              <w:top w:val="nil"/>
              <w:left w:val="nil"/>
              <w:bottom w:val="nil"/>
              <w:right w:val="nil"/>
            </w:tcBorders>
            <w:shd w:val="clear" w:color="auto" w:fill="auto"/>
            <w:noWrap/>
            <w:vAlign w:val="center"/>
            <w:hideMark/>
          </w:tcPr>
          <w:p w14:paraId="5D423DA5" w14:textId="77777777" w:rsidR="00466961" w:rsidRPr="00E21717" w:rsidRDefault="00466961"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Nordea</w:t>
            </w:r>
            <w:proofErr w:type="spellEnd"/>
            <w:r w:rsidRPr="00E21717">
              <w:rPr>
                <w:rFonts w:ascii="dcr10" w:eastAsia="Times New Roman" w:hAnsi="dcr10" w:cs="Times New Roman"/>
                <w:color w:val="000000"/>
                <w:sz w:val="18"/>
                <w:szCs w:val="18"/>
              </w:rPr>
              <w:t xml:space="preserve"> Bank </w:t>
            </w:r>
          </w:p>
        </w:tc>
        <w:tc>
          <w:tcPr>
            <w:tcW w:w="1879" w:type="dxa"/>
            <w:tcBorders>
              <w:top w:val="nil"/>
              <w:left w:val="nil"/>
              <w:bottom w:val="nil"/>
              <w:right w:val="nil"/>
            </w:tcBorders>
            <w:shd w:val="clear" w:color="auto" w:fill="auto"/>
            <w:noWrap/>
            <w:vAlign w:val="center"/>
            <w:hideMark/>
          </w:tcPr>
          <w:p w14:paraId="5143D030" w14:textId="2391F57A"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3196ABD6" w14:textId="7B5C60A8"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86.98</w:t>
            </w:r>
          </w:p>
        </w:tc>
        <w:tc>
          <w:tcPr>
            <w:tcW w:w="1536" w:type="dxa"/>
            <w:tcBorders>
              <w:top w:val="nil"/>
              <w:left w:val="nil"/>
              <w:bottom w:val="nil"/>
              <w:right w:val="nil"/>
            </w:tcBorders>
            <w:shd w:val="clear" w:color="auto" w:fill="auto"/>
            <w:noWrap/>
            <w:vAlign w:val="center"/>
            <w:hideMark/>
          </w:tcPr>
          <w:p w14:paraId="7C4B07E1" w14:textId="09432BA3"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51.80</w:t>
            </w:r>
          </w:p>
        </w:tc>
      </w:tr>
      <w:tr w:rsidR="00466961" w:rsidRPr="00E21717" w14:paraId="417FC9F9" w14:textId="77777777" w:rsidTr="00552EF7">
        <w:trPr>
          <w:trHeight w:val="302"/>
        </w:trPr>
        <w:tc>
          <w:tcPr>
            <w:tcW w:w="3031" w:type="dxa"/>
            <w:tcBorders>
              <w:top w:val="nil"/>
              <w:left w:val="nil"/>
              <w:bottom w:val="nil"/>
              <w:right w:val="nil"/>
            </w:tcBorders>
            <w:shd w:val="clear" w:color="auto" w:fill="auto"/>
            <w:noWrap/>
            <w:vAlign w:val="center"/>
            <w:hideMark/>
          </w:tcPr>
          <w:p w14:paraId="1FD3F8F3" w14:textId="77777777" w:rsidR="00466961" w:rsidRPr="00E21717" w:rsidRDefault="00466961"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Bank of Nova Scotia</w:t>
            </w:r>
          </w:p>
        </w:tc>
        <w:tc>
          <w:tcPr>
            <w:tcW w:w="1879" w:type="dxa"/>
            <w:tcBorders>
              <w:top w:val="nil"/>
              <w:left w:val="nil"/>
              <w:bottom w:val="nil"/>
              <w:right w:val="nil"/>
            </w:tcBorders>
            <w:shd w:val="clear" w:color="auto" w:fill="auto"/>
            <w:noWrap/>
            <w:vAlign w:val="center"/>
            <w:hideMark/>
          </w:tcPr>
          <w:p w14:paraId="220250F4" w14:textId="0BC3D1C8"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4DE86FD7" w14:textId="4E68E6CE"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1536" w:type="dxa"/>
            <w:tcBorders>
              <w:top w:val="nil"/>
              <w:left w:val="nil"/>
              <w:bottom w:val="nil"/>
              <w:right w:val="nil"/>
            </w:tcBorders>
            <w:shd w:val="clear" w:color="auto" w:fill="auto"/>
            <w:noWrap/>
            <w:vAlign w:val="center"/>
            <w:hideMark/>
          </w:tcPr>
          <w:p w14:paraId="691764B8" w14:textId="6DA026CC"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r>
      <w:tr w:rsidR="00466961" w:rsidRPr="00E21717" w14:paraId="499C436A" w14:textId="77777777" w:rsidTr="00552EF7">
        <w:trPr>
          <w:trHeight w:val="302"/>
        </w:trPr>
        <w:tc>
          <w:tcPr>
            <w:tcW w:w="3031" w:type="dxa"/>
            <w:tcBorders>
              <w:top w:val="nil"/>
              <w:left w:val="nil"/>
              <w:bottom w:val="nil"/>
              <w:right w:val="nil"/>
            </w:tcBorders>
            <w:shd w:val="clear" w:color="auto" w:fill="auto"/>
            <w:noWrap/>
            <w:vAlign w:val="center"/>
            <w:hideMark/>
          </w:tcPr>
          <w:p w14:paraId="5E743B35" w14:textId="77777777" w:rsidR="00466961" w:rsidRPr="00E21717" w:rsidRDefault="00466961" w:rsidP="00552EF7">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Royal Bank of Canada </w:t>
            </w:r>
          </w:p>
        </w:tc>
        <w:tc>
          <w:tcPr>
            <w:tcW w:w="1879" w:type="dxa"/>
            <w:tcBorders>
              <w:top w:val="nil"/>
              <w:left w:val="nil"/>
              <w:bottom w:val="nil"/>
              <w:right w:val="nil"/>
            </w:tcBorders>
            <w:shd w:val="clear" w:color="auto" w:fill="auto"/>
            <w:noWrap/>
            <w:vAlign w:val="center"/>
            <w:hideMark/>
          </w:tcPr>
          <w:p w14:paraId="2C1053B8" w14:textId="0C883AA1"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0968902A" w14:textId="15467838"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1536" w:type="dxa"/>
            <w:tcBorders>
              <w:top w:val="nil"/>
              <w:left w:val="nil"/>
              <w:bottom w:val="nil"/>
              <w:right w:val="nil"/>
            </w:tcBorders>
            <w:shd w:val="clear" w:color="auto" w:fill="auto"/>
            <w:noWrap/>
            <w:vAlign w:val="center"/>
            <w:hideMark/>
          </w:tcPr>
          <w:p w14:paraId="0B6F5854" w14:textId="15FDE182"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r>
      <w:tr w:rsidR="00466961" w:rsidRPr="00E21717" w14:paraId="7BB68C5F" w14:textId="77777777" w:rsidTr="00552EF7">
        <w:trPr>
          <w:trHeight w:val="302"/>
        </w:trPr>
        <w:tc>
          <w:tcPr>
            <w:tcW w:w="3031" w:type="dxa"/>
            <w:tcBorders>
              <w:top w:val="nil"/>
              <w:left w:val="nil"/>
              <w:bottom w:val="nil"/>
              <w:right w:val="nil"/>
            </w:tcBorders>
            <w:shd w:val="clear" w:color="auto" w:fill="auto"/>
            <w:noWrap/>
            <w:vAlign w:val="center"/>
            <w:hideMark/>
          </w:tcPr>
          <w:p w14:paraId="0AD31C7E" w14:textId="77777777" w:rsidR="00466961" w:rsidRPr="00E21717" w:rsidRDefault="00466961"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Royal Bank of Scotland </w:t>
            </w:r>
          </w:p>
        </w:tc>
        <w:tc>
          <w:tcPr>
            <w:tcW w:w="1879" w:type="dxa"/>
            <w:tcBorders>
              <w:top w:val="nil"/>
              <w:left w:val="nil"/>
              <w:bottom w:val="nil"/>
              <w:right w:val="nil"/>
            </w:tcBorders>
            <w:shd w:val="clear" w:color="auto" w:fill="auto"/>
            <w:noWrap/>
            <w:vAlign w:val="center"/>
            <w:hideMark/>
          </w:tcPr>
          <w:p w14:paraId="5FF8BF39" w14:textId="209A7029"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64CCE969" w14:textId="56E0F4D0"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10.07</w:t>
            </w:r>
          </w:p>
        </w:tc>
        <w:tc>
          <w:tcPr>
            <w:tcW w:w="1536" w:type="dxa"/>
            <w:tcBorders>
              <w:top w:val="nil"/>
              <w:left w:val="nil"/>
              <w:bottom w:val="nil"/>
              <w:right w:val="nil"/>
            </w:tcBorders>
            <w:shd w:val="clear" w:color="auto" w:fill="auto"/>
            <w:noWrap/>
            <w:vAlign w:val="center"/>
            <w:hideMark/>
          </w:tcPr>
          <w:p w14:paraId="24235D14" w14:textId="50BA3791"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50.33</w:t>
            </w:r>
          </w:p>
        </w:tc>
      </w:tr>
      <w:tr w:rsidR="00466961" w:rsidRPr="00E21717" w14:paraId="09FE1123" w14:textId="77777777" w:rsidTr="00552EF7">
        <w:trPr>
          <w:trHeight w:val="302"/>
        </w:trPr>
        <w:tc>
          <w:tcPr>
            <w:tcW w:w="3031" w:type="dxa"/>
            <w:tcBorders>
              <w:top w:val="nil"/>
              <w:left w:val="nil"/>
              <w:bottom w:val="nil"/>
              <w:right w:val="nil"/>
            </w:tcBorders>
            <w:shd w:val="clear" w:color="auto" w:fill="auto"/>
            <w:noWrap/>
            <w:vAlign w:val="center"/>
            <w:hideMark/>
          </w:tcPr>
          <w:p w14:paraId="25341CFD" w14:textId="77777777" w:rsidR="00466961" w:rsidRPr="00E21717" w:rsidRDefault="00466961"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Banco</w:t>
            </w:r>
            <w:proofErr w:type="spellEnd"/>
            <w:r w:rsidRPr="00E21717">
              <w:rPr>
                <w:rFonts w:ascii="dcr10" w:eastAsia="Times New Roman" w:hAnsi="dcr10" w:cs="Times New Roman"/>
                <w:color w:val="000000"/>
                <w:sz w:val="18"/>
                <w:szCs w:val="18"/>
              </w:rPr>
              <w:t xml:space="preserve"> Santander</w:t>
            </w:r>
          </w:p>
        </w:tc>
        <w:tc>
          <w:tcPr>
            <w:tcW w:w="1879" w:type="dxa"/>
            <w:tcBorders>
              <w:top w:val="nil"/>
              <w:left w:val="nil"/>
              <w:bottom w:val="nil"/>
              <w:right w:val="nil"/>
            </w:tcBorders>
            <w:shd w:val="clear" w:color="auto" w:fill="auto"/>
            <w:noWrap/>
            <w:vAlign w:val="center"/>
            <w:hideMark/>
          </w:tcPr>
          <w:p w14:paraId="5B48CEC8" w14:textId="6DE6944C"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9.98</w:t>
            </w:r>
          </w:p>
        </w:tc>
        <w:tc>
          <w:tcPr>
            <w:tcW w:w="2041" w:type="dxa"/>
            <w:tcBorders>
              <w:top w:val="nil"/>
              <w:left w:val="nil"/>
              <w:bottom w:val="nil"/>
              <w:right w:val="nil"/>
            </w:tcBorders>
            <w:shd w:val="clear" w:color="auto" w:fill="auto"/>
            <w:noWrap/>
            <w:vAlign w:val="center"/>
            <w:hideMark/>
          </w:tcPr>
          <w:p w14:paraId="1331A354" w14:textId="5AE0777A"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222.87</w:t>
            </w:r>
          </w:p>
        </w:tc>
        <w:tc>
          <w:tcPr>
            <w:tcW w:w="1536" w:type="dxa"/>
            <w:tcBorders>
              <w:top w:val="nil"/>
              <w:left w:val="nil"/>
              <w:bottom w:val="nil"/>
              <w:right w:val="nil"/>
            </w:tcBorders>
            <w:shd w:val="clear" w:color="auto" w:fill="auto"/>
            <w:noWrap/>
            <w:vAlign w:val="center"/>
            <w:hideMark/>
          </w:tcPr>
          <w:p w14:paraId="72538ABB" w14:textId="0213431E"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95.00</w:t>
            </w:r>
          </w:p>
        </w:tc>
      </w:tr>
      <w:tr w:rsidR="00466961" w:rsidRPr="00E21717" w14:paraId="77D568E8" w14:textId="77777777" w:rsidTr="00552EF7">
        <w:trPr>
          <w:trHeight w:val="302"/>
        </w:trPr>
        <w:tc>
          <w:tcPr>
            <w:tcW w:w="3031" w:type="dxa"/>
            <w:tcBorders>
              <w:top w:val="nil"/>
              <w:left w:val="nil"/>
              <w:bottom w:val="nil"/>
              <w:right w:val="nil"/>
            </w:tcBorders>
            <w:shd w:val="clear" w:color="auto" w:fill="auto"/>
            <w:noWrap/>
            <w:vAlign w:val="center"/>
            <w:hideMark/>
          </w:tcPr>
          <w:p w14:paraId="72E42016" w14:textId="77777777" w:rsidR="00466961" w:rsidRPr="00E21717" w:rsidRDefault="00466961"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bCs/>
                <w:color w:val="000000"/>
                <w:sz w:val="18"/>
                <w:szCs w:val="18"/>
              </w:rPr>
              <w:t>Societe</w:t>
            </w:r>
            <w:proofErr w:type="spellEnd"/>
            <w:r w:rsidRPr="00E21717">
              <w:rPr>
                <w:rFonts w:ascii="dcr10" w:eastAsia="Times New Roman" w:hAnsi="dcr10" w:cs="Times New Roman"/>
                <w:bCs/>
                <w:color w:val="000000"/>
                <w:sz w:val="18"/>
                <w:szCs w:val="18"/>
              </w:rPr>
              <w:t xml:space="preserve"> </w:t>
            </w:r>
            <w:proofErr w:type="spellStart"/>
            <w:r w:rsidRPr="00E21717">
              <w:rPr>
                <w:rFonts w:ascii="dcr10" w:eastAsia="Times New Roman" w:hAnsi="dcr10" w:cs="Times New Roman"/>
                <w:bCs/>
                <w:color w:val="000000"/>
                <w:sz w:val="18"/>
                <w:szCs w:val="18"/>
              </w:rPr>
              <w:t>Generale</w:t>
            </w:r>
            <w:proofErr w:type="spellEnd"/>
            <w:r w:rsidRPr="00E21717">
              <w:rPr>
                <w:rFonts w:ascii="dcr10" w:eastAsia="Times New Roman" w:hAnsi="dcr10" w:cs="Times New Roman"/>
                <w:bCs/>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34AFEAEC" w14:textId="022232A9"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8.14</w:t>
            </w:r>
          </w:p>
        </w:tc>
        <w:tc>
          <w:tcPr>
            <w:tcW w:w="2041" w:type="dxa"/>
            <w:tcBorders>
              <w:top w:val="nil"/>
              <w:left w:val="nil"/>
              <w:bottom w:val="nil"/>
              <w:right w:val="nil"/>
            </w:tcBorders>
            <w:shd w:val="clear" w:color="auto" w:fill="auto"/>
            <w:noWrap/>
            <w:vAlign w:val="center"/>
            <w:hideMark/>
          </w:tcPr>
          <w:p w14:paraId="5BD42E2F" w14:textId="6EA96986"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169.58</w:t>
            </w:r>
          </w:p>
        </w:tc>
        <w:tc>
          <w:tcPr>
            <w:tcW w:w="1536" w:type="dxa"/>
            <w:tcBorders>
              <w:top w:val="nil"/>
              <w:left w:val="nil"/>
              <w:bottom w:val="nil"/>
              <w:right w:val="nil"/>
            </w:tcBorders>
            <w:shd w:val="clear" w:color="auto" w:fill="auto"/>
            <w:noWrap/>
            <w:vAlign w:val="center"/>
            <w:hideMark/>
          </w:tcPr>
          <w:p w14:paraId="75FCA1BB" w14:textId="5185BA45"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85.03</w:t>
            </w:r>
          </w:p>
        </w:tc>
      </w:tr>
      <w:tr w:rsidR="00466961" w:rsidRPr="00E21717" w14:paraId="2D3BBEBA" w14:textId="77777777" w:rsidTr="00552EF7">
        <w:trPr>
          <w:trHeight w:val="302"/>
        </w:trPr>
        <w:tc>
          <w:tcPr>
            <w:tcW w:w="3031" w:type="dxa"/>
            <w:tcBorders>
              <w:top w:val="nil"/>
              <w:left w:val="nil"/>
              <w:bottom w:val="nil"/>
              <w:right w:val="nil"/>
            </w:tcBorders>
            <w:shd w:val="clear" w:color="auto" w:fill="auto"/>
            <w:noWrap/>
            <w:vAlign w:val="center"/>
            <w:hideMark/>
          </w:tcPr>
          <w:p w14:paraId="512694BA" w14:textId="77777777" w:rsidR="00466961" w:rsidRPr="00E21717" w:rsidRDefault="00466961"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Standered</w:t>
            </w:r>
            <w:proofErr w:type="spellEnd"/>
            <w:r w:rsidRPr="00E21717">
              <w:rPr>
                <w:rFonts w:ascii="dcr10" w:eastAsia="Times New Roman" w:hAnsi="dcr10" w:cs="Times New Roman"/>
                <w:color w:val="000000"/>
                <w:sz w:val="18"/>
                <w:szCs w:val="18"/>
              </w:rPr>
              <w:t xml:space="preserve"> Chartered </w:t>
            </w:r>
          </w:p>
        </w:tc>
        <w:tc>
          <w:tcPr>
            <w:tcW w:w="1879" w:type="dxa"/>
            <w:tcBorders>
              <w:top w:val="nil"/>
              <w:left w:val="nil"/>
              <w:bottom w:val="nil"/>
              <w:right w:val="nil"/>
            </w:tcBorders>
            <w:shd w:val="clear" w:color="auto" w:fill="auto"/>
            <w:noWrap/>
            <w:vAlign w:val="center"/>
            <w:hideMark/>
          </w:tcPr>
          <w:p w14:paraId="50247491" w14:textId="5549DC55"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11.32</w:t>
            </w:r>
          </w:p>
        </w:tc>
        <w:tc>
          <w:tcPr>
            <w:tcW w:w="2041" w:type="dxa"/>
            <w:tcBorders>
              <w:top w:val="nil"/>
              <w:left w:val="nil"/>
              <w:bottom w:val="nil"/>
              <w:right w:val="nil"/>
            </w:tcBorders>
            <w:shd w:val="clear" w:color="auto" w:fill="auto"/>
            <w:noWrap/>
            <w:vAlign w:val="center"/>
            <w:hideMark/>
          </w:tcPr>
          <w:p w14:paraId="2198C614" w14:textId="2774D5BC"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82.54</w:t>
            </w:r>
          </w:p>
        </w:tc>
        <w:tc>
          <w:tcPr>
            <w:tcW w:w="1536" w:type="dxa"/>
            <w:tcBorders>
              <w:top w:val="nil"/>
              <w:left w:val="nil"/>
              <w:bottom w:val="nil"/>
              <w:right w:val="nil"/>
            </w:tcBorders>
            <w:shd w:val="clear" w:color="auto" w:fill="auto"/>
            <w:noWrap/>
            <w:vAlign w:val="center"/>
            <w:hideMark/>
          </w:tcPr>
          <w:p w14:paraId="7CF3BA37" w14:textId="64B41F78"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100.43</w:t>
            </w:r>
          </w:p>
        </w:tc>
      </w:tr>
      <w:tr w:rsidR="00466961" w:rsidRPr="00E21717" w14:paraId="41BEFE0E" w14:textId="77777777" w:rsidTr="00552EF7">
        <w:trPr>
          <w:trHeight w:val="302"/>
        </w:trPr>
        <w:tc>
          <w:tcPr>
            <w:tcW w:w="3031" w:type="dxa"/>
            <w:tcBorders>
              <w:top w:val="nil"/>
              <w:left w:val="nil"/>
              <w:bottom w:val="nil"/>
              <w:right w:val="nil"/>
            </w:tcBorders>
            <w:shd w:val="clear" w:color="auto" w:fill="auto"/>
            <w:noWrap/>
            <w:vAlign w:val="center"/>
            <w:hideMark/>
          </w:tcPr>
          <w:p w14:paraId="6810AB07" w14:textId="77777777" w:rsidR="00466961" w:rsidRPr="00E21717" w:rsidRDefault="00466961"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Sumitomo Mitsui Financial </w:t>
            </w:r>
          </w:p>
        </w:tc>
        <w:tc>
          <w:tcPr>
            <w:tcW w:w="1879" w:type="dxa"/>
            <w:tcBorders>
              <w:top w:val="nil"/>
              <w:left w:val="nil"/>
              <w:bottom w:val="nil"/>
              <w:right w:val="nil"/>
            </w:tcBorders>
            <w:shd w:val="clear" w:color="auto" w:fill="auto"/>
            <w:noWrap/>
            <w:vAlign w:val="center"/>
            <w:hideMark/>
          </w:tcPr>
          <w:p w14:paraId="627E13FE" w14:textId="657FF7B7"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19D1D90F" w14:textId="3591CA21"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1536" w:type="dxa"/>
            <w:tcBorders>
              <w:top w:val="nil"/>
              <w:left w:val="nil"/>
              <w:bottom w:val="nil"/>
              <w:right w:val="nil"/>
            </w:tcBorders>
            <w:shd w:val="clear" w:color="auto" w:fill="auto"/>
            <w:noWrap/>
            <w:vAlign w:val="center"/>
            <w:hideMark/>
          </w:tcPr>
          <w:p w14:paraId="2280C980" w14:textId="3B4BB1CD"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r>
      <w:tr w:rsidR="00466961" w:rsidRPr="00E21717" w14:paraId="7FABE1A1" w14:textId="77777777" w:rsidTr="00552EF7">
        <w:trPr>
          <w:trHeight w:val="302"/>
        </w:trPr>
        <w:tc>
          <w:tcPr>
            <w:tcW w:w="3031" w:type="dxa"/>
            <w:tcBorders>
              <w:top w:val="nil"/>
              <w:left w:val="nil"/>
              <w:bottom w:val="nil"/>
              <w:right w:val="nil"/>
            </w:tcBorders>
            <w:shd w:val="clear" w:color="auto" w:fill="auto"/>
            <w:noWrap/>
            <w:vAlign w:val="center"/>
            <w:hideMark/>
          </w:tcPr>
          <w:p w14:paraId="57252EA9" w14:textId="77777777" w:rsidR="00466961" w:rsidRPr="00E21717" w:rsidRDefault="00466961" w:rsidP="00552EF7">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Toronto-</w:t>
            </w:r>
            <w:proofErr w:type="spellStart"/>
            <w:r w:rsidRPr="00E21717">
              <w:rPr>
                <w:rFonts w:ascii="dcr10" w:eastAsia="Times New Roman" w:hAnsi="dcr10" w:cs="Times New Roman"/>
                <w:color w:val="000000"/>
                <w:sz w:val="18"/>
                <w:szCs w:val="18"/>
              </w:rPr>
              <w:t>Dominon</w:t>
            </w:r>
            <w:proofErr w:type="spellEnd"/>
            <w:r w:rsidRPr="00E21717">
              <w:rPr>
                <w:rFonts w:ascii="dcr10" w:eastAsia="Times New Roman" w:hAnsi="dcr10" w:cs="Times New Roman"/>
                <w:color w:val="000000"/>
                <w:sz w:val="18"/>
                <w:szCs w:val="18"/>
              </w:rPr>
              <w:t xml:space="preserve"> Group </w:t>
            </w:r>
          </w:p>
        </w:tc>
        <w:tc>
          <w:tcPr>
            <w:tcW w:w="1879" w:type="dxa"/>
            <w:tcBorders>
              <w:top w:val="nil"/>
              <w:left w:val="nil"/>
              <w:bottom w:val="nil"/>
              <w:right w:val="nil"/>
            </w:tcBorders>
            <w:shd w:val="clear" w:color="auto" w:fill="auto"/>
            <w:noWrap/>
            <w:vAlign w:val="center"/>
            <w:hideMark/>
          </w:tcPr>
          <w:p w14:paraId="487BDF7D" w14:textId="6B538606"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53398CEF" w14:textId="7DB7E02A"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9.22</w:t>
            </w:r>
          </w:p>
        </w:tc>
        <w:tc>
          <w:tcPr>
            <w:tcW w:w="1536" w:type="dxa"/>
            <w:tcBorders>
              <w:top w:val="nil"/>
              <w:left w:val="nil"/>
              <w:bottom w:val="nil"/>
              <w:right w:val="nil"/>
            </w:tcBorders>
            <w:shd w:val="clear" w:color="auto" w:fill="auto"/>
            <w:noWrap/>
            <w:vAlign w:val="center"/>
            <w:hideMark/>
          </w:tcPr>
          <w:p w14:paraId="61E09473" w14:textId="6EAE6903"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46.63</w:t>
            </w:r>
          </w:p>
        </w:tc>
      </w:tr>
      <w:tr w:rsidR="00466961" w:rsidRPr="00E21717" w14:paraId="7EFC053A" w14:textId="77777777" w:rsidTr="00552EF7">
        <w:trPr>
          <w:trHeight w:val="302"/>
        </w:trPr>
        <w:tc>
          <w:tcPr>
            <w:tcW w:w="3031" w:type="dxa"/>
            <w:tcBorders>
              <w:top w:val="nil"/>
              <w:left w:val="nil"/>
              <w:bottom w:val="nil"/>
              <w:right w:val="nil"/>
            </w:tcBorders>
            <w:shd w:val="clear" w:color="auto" w:fill="auto"/>
            <w:noWrap/>
            <w:vAlign w:val="center"/>
            <w:hideMark/>
          </w:tcPr>
          <w:p w14:paraId="7FFBE63B" w14:textId="77777777" w:rsidR="00466961" w:rsidRPr="00E21717" w:rsidRDefault="00466961"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UBS Group AG </w:t>
            </w:r>
          </w:p>
        </w:tc>
        <w:tc>
          <w:tcPr>
            <w:tcW w:w="1879" w:type="dxa"/>
            <w:tcBorders>
              <w:top w:val="nil"/>
              <w:left w:val="nil"/>
              <w:bottom w:val="nil"/>
              <w:right w:val="nil"/>
            </w:tcBorders>
            <w:shd w:val="clear" w:color="auto" w:fill="auto"/>
            <w:noWrap/>
            <w:vAlign w:val="center"/>
            <w:hideMark/>
          </w:tcPr>
          <w:p w14:paraId="7DBC524D" w14:textId="6298815B"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3CAE5154" w14:textId="64915925"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1536" w:type="dxa"/>
            <w:tcBorders>
              <w:top w:val="nil"/>
              <w:left w:val="nil"/>
              <w:bottom w:val="nil"/>
              <w:right w:val="nil"/>
            </w:tcBorders>
            <w:shd w:val="clear" w:color="auto" w:fill="auto"/>
            <w:noWrap/>
            <w:vAlign w:val="center"/>
            <w:hideMark/>
          </w:tcPr>
          <w:p w14:paraId="0672D903" w14:textId="6B9FB3BD"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r>
      <w:tr w:rsidR="00466961" w:rsidRPr="00E21717" w14:paraId="45C45D74" w14:textId="77777777" w:rsidTr="00552EF7">
        <w:trPr>
          <w:trHeight w:val="302"/>
        </w:trPr>
        <w:tc>
          <w:tcPr>
            <w:tcW w:w="3031" w:type="dxa"/>
            <w:tcBorders>
              <w:top w:val="nil"/>
              <w:left w:val="nil"/>
              <w:bottom w:val="nil"/>
              <w:right w:val="nil"/>
            </w:tcBorders>
            <w:shd w:val="clear" w:color="auto" w:fill="auto"/>
            <w:noWrap/>
            <w:vAlign w:val="center"/>
            <w:hideMark/>
          </w:tcPr>
          <w:p w14:paraId="25618AAB" w14:textId="77777777" w:rsidR="00466961" w:rsidRPr="00E21717" w:rsidRDefault="00466961" w:rsidP="00552EF7">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UniCredit</w:t>
            </w:r>
            <w:proofErr w:type="spellEnd"/>
            <w:r w:rsidRPr="00E21717">
              <w:rPr>
                <w:rFonts w:ascii="dcr10" w:eastAsia="Times New Roman" w:hAnsi="dcr10" w:cs="Times New Roman"/>
                <w:color w:val="000000"/>
                <w:sz w:val="18"/>
                <w:szCs w:val="18"/>
              </w:rPr>
              <w:t xml:space="preserve"> </w:t>
            </w:r>
            <w:proofErr w:type="spellStart"/>
            <w:r w:rsidRPr="00E21717">
              <w:rPr>
                <w:rFonts w:ascii="dcr10" w:eastAsia="Times New Roman" w:hAnsi="dcr10" w:cs="Times New Roman"/>
                <w:color w:val="000000"/>
                <w:sz w:val="18"/>
                <w:szCs w:val="18"/>
              </w:rPr>
              <w:t>S.p.A</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2A117AB2" w14:textId="22479D32"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2041" w:type="dxa"/>
            <w:tcBorders>
              <w:top w:val="nil"/>
              <w:left w:val="nil"/>
              <w:bottom w:val="nil"/>
              <w:right w:val="nil"/>
            </w:tcBorders>
            <w:shd w:val="clear" w:color="auto" w:fill="auto"/>
            <w:noWrap/>
            <w:vAlign w:val="center"/>
            <w:hideMark/>
          </w:tcPr>
          <w:p w14:paraId="7B9CB775" w14:textId="5C2FD8EF"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c>
          <w:tcPr>
            <w:tcW w:w="1536" w:type="dxa"/>
            <w:tcBorders>
              <w:top w:val="nil"/>
              <w:left w:val="nil"/>
              <w:bottom w:val="nil"/>
              <w:right w:val="nil"/>
            </w:tcBorders>
            <w:shd w:val="clear" w:color="auto" w:fill="auto"/>
            <w:noWrap/>
            <w:vAlign w:val="center"/>
            <w:hideMark/>
          </w:tcPr>
          <w:p w14:paraId="4636F791" w14:textId="0C18D0CD"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N/A</w:t>
            </w:r>
          </w:p>
        </w:tc>
      </w:tr>
      <w:tr w:rsidR="00466961" w:rsidRPr="00E21717" w14:paraId="48831ECE" w14:textId="77777777" w:rsidTr="00552EF7">
        <w:trPr>
          <w:trHeight w:val="302"/>
        </w:trPr>
        <w:tc>
          <w:tcPr>
            <w:tcW w:w="3031" w:type="dxa"/>
            <w:tcBorders>
              <w:top w:val="nil"/>
              <w:left w:val="nil"/>
              <w:bottom w:val="nil"/>
              <w:right w:val="nil"/>
            </w:tcBorders>
            <w:shd w:val="clear" w:color="auto" w:fill="auto"/>
            <w:noWrap/>
            <w:vAlign w:val="center"/>
            <w:hideMark/>
          </w:tcPr>
          <w:p w14:paraId="1941F493" w14:textId="77777777" w:rsidR="00466961" w:rsidRPr="00E21717" w:rsidRDefault="00466961" w:rsidP="00552EF7">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Westpac Banking </w:t>
            </w:r>
          </w:p>
        </w:tc>
        <w:tc>
          <w:tcPr>
            <w:tcW w:w="1879" w:type="dxa"/>
            <w:tcBorders>
              <w:top w:val="nil"/>
              <w:left w:val="nil"/>
              <w:bottom w:val="nil"/>
              <w:right w:val="nil"/>
            </w:tcBorders>
            <w:shd w:val="clear" w:color="auto" w:fill="auto"/>
            <w:noWrap/>
            <w:vAlign w:val="center"/>
            <w:hideMark/>
          </w:tcPr>
          <w:p w14:paraId="12505F2E" w14:textId="5DA22EB7"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6.26</w:t>
            </w:r>
          </w:p>
        </w:tc>
        <w:tc>
          <w:tcPr>
            <w:tcW w:w="2041" w:type="dxa"/>
            <w:tcBorders>
              <w:top w:val="nil"/>
              <w:left w:val="nil"/>
              <w:bottom w:val="nil"/>
              <w:right w:val="nil"/>
            </w:tcBorders>
            <w:shd w:val="clear" w:color="auto" w:fill="auto"/>
            <w:noWrap/>
            <w:vAlign w:val="center"/>
            <w:hideMark/>
          </w:tcPr>
          <w:p w14:paraId="30602EE5" w14:textId="116641F1"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109.61</w:t>
            </w:r>
          </w:p>
        </w:tc>
        <w:tc>
          <w:tcPr>
            <w:tcW w:w="1536" w:type="dxa"/>
            <w:tcBorders>
              <w:top w:val="nil"/>
              <w:left w:val="nil"/>
              <w:bottom w:val="nil"/>
              <w:right w:val="nil"/>
            </w:tcBorders>
            <w:shd w:val="clear" w:color="auto" w:fill="auto"/>
            <w:noWrap/>
            <w:vAlign w:val="center"/>
            <w:hideMark/>
          </w:tcPr>
          <w:p w14:paraId="74F3D018" w14:textId="6F37702D" w:rsidR="00466961" w:rsidRPr="00371459" w:rsidRDefault="00466961" w:rsidP="00552EF7">
            <w:pPr>
              <w:jc w:val="center"/>
              <w:rPr>
                <w:rFonts w:ascii="dcr10" w:eastAsia="Times New Roman" w:hAnsi="dcr10" w:cs="Times New Roman"/>
                <w:color w:val="000000"/>
                <w:sz w:val="18"/>
                <w:szCs w:val="18"/>
              </w:rPr>
            </w:pPr>
            <w:r w:rsidRPr="00466961">
              <w:rPr>
                <w:rFonts w:ascii="dcr10" w:eastAsia="Times New Roman" w:hAnsi="dcr10" w:cs="Times New Roman"/>
                <w:color w:val="000000"/>
                <w:sz w:val="18"/>
                <w:szCs w:val="18"/>
              </w:rPr>
              <w:t>62.07</w:t>
            </w:r>
          </w:p>
        </w:tc>
      </w:tr>
      <w:tr w:rsidR="00466961" w:rsidRPr="00E21717" w14:paraId="5F50DF1E" w14:textId="77777777" w:rsidTr="00552EF7">
        <w:trPr>
          <w:trHeight w:val="302"/>
        </w:trPr>
        <w:tc>
          <w:tcPr>
            <w:tcW w:w="3031" w:type="dxa"/>
            <w:tcBorders>
              <w:top w:val="nil"/>
              <w:left w:val="nil"/>
              <w:bottom w:val="nil"/>
              <w:right w:val="nil"/>
            </w:tcBorders>
            <w:shd w:val="clear" w:color="auto" w:fill="auto"/>
            <w:noWrap/>
            <w:vAlign w:val="center"/>
            <w:hideMark/>
          </w:tcPr>
          <w:p w14:paraId="6941A8DD" w14:textId="77777777" w:rsidR="00466961" w:rsidRPr="00371459" w:rsidRDefault="00466961" w:rsidP="00552EF7">
            <w:pPr>
              <w:rPr>
                <w:rFonts w:ascii="dcr10" w:eastAsia="Times New Roman" w:hAnsi="dcr10" w:cs="Times New Roman"/>
                <w:i/>
                <w:color w:val="000000"/>
                <w:sz w:val="17"/>
                <w:szCs w:val="17"/>
              </w:rPr>
            </w:pPr>
            <w:r w:rsidRPr="00371459">
              <w:rPr>
                <w:rFonts w:ascii="dcr10" w:eastAsia="Times New Roman" w:hAnsi="dcr10" w:cs="Times New Roman"/>
                <w:i/>
                <w:color w:val="000000"/>
                <w:sz w:val="18"/>
                <w:szCs w:val="18"/>
              </w:rPr>
              <w:t>Mean</w:t>
            </w:r>
          </w:p>
        </w:tc>
        <w:tc>
          <w:tcPr>
            <w:tcW w:w="1879" w:type="dxa"/>
            <w:tcBorders>
              <w:top w:val="nil"/>
              <w:left w:val="nil"/>
              <w:bottom w:val="nil"/>
              <w:right w:val="nil"/>
            </w:tcBorders>
            <w:shd w:val="clear" w:color="auto" w:fill="auto"/>
            <w:noWrap/>
            <w:vAlign w:val="center"/>
            <w:hideMark/>
          </w:tcPr>
          <w:p w14:paraId="16F812EF" w14:textId="04D52E31" w:rsidR="00466961" w:rsidRPr="00466961" w:rsidRDefault="00466961" w:rsidP="00552EF7">
            <w:pPr>
              <w:jc w:val="center"/>
              <w:rPr>
                <w:rFonts w:ascii="dcr10" w:eastAsia="Times New Roman" w:hAnsi="dcr10" w:cs="Times New Roman"/>
                <w:i/>
                <w:color w:val="000000"/>
                <w:sz w:val="18"/>
                <w:szCs w:val="18"/>
              </w:rPr>
            </w:pPr>
            <w:r w:rsidRPr="00466961">
              <w:rPr>
                <w:rFonts w:ascii="dcr10" w:eastAsia="Times New Roman" w:hAnsi="dcr10" w:cs="Times New Roman"/>
                <w:i/>
                <w:color w:val="000000"/>
                <w:sz w:val="18"/>
                <w:szCs w:val="18"/>
              </w:rPr>
              <w:t>9.00</w:t>
            </w:r>
          </w:p>
        </w:tc>
        <w:tc>
          <w:tcPr>
            <w:tcW w:w="2041" w:type="dxa"/>
            <w:tcBorders>
              <w:top w:val="nil"/>
              <w:left w:val="nil"/>
              <w:bottom w:val="nil"/>
              <w:right w:val="nil"/>
            </w:tcBorders>
            <w:shd w:val="clear" w:color="auto" w:fill="auto"/>
            <w:noWrap/>
            <w:vAlign w:val="center"/>
            <w:hideMark/>
          </w:tcPr>
          <w:p w14:paraId="45FB1CD6" w14:textId="61972E65" w:rsidR="00466961" w:rsidRPr="00466961" w:rsidRDefault="00466961" w:rsidP="00552EF7">
            <w:pPr>
              <w:jc w:val="center"/>
              <w:rPr>
                <w:rFonts w:ascii="dcr10" w:eastAsia="Times New Roman" w:hAnsi="dcr10" w:cs="Times New Roman"/>
                <w:i/>
                <w:color w:val="000000"/>
                <w:sz w:val="18"/>
                <w:szCs w:val="18"/>
              </w:rPr>
            </w:pPr>
            <w:r w:rsidRPr="00466961">
              <w:rPr>
                <w:rFonts w:ascii="dcr10" w:eastAsia="Times New Roman" w:hAnsi="dcr10" w:cs="Times New Roman"/>
                <w:i/>
                <w:color w:val="000000"/>
                <w:sz w:val="18"/>
                <w:szCs w:val="18"/>
              </w:rPr>
              <w:t>111.87</w:t>
            </w:r>
          </w:p>
        </w:tc>
        <w:tc>
          <w:tcPr>
            <w:tcW w:w="1536" w:type="dxa"/>
            <w:tcBorders>
              <w:top w:val="nil"/>
              <w:left w:val="nil"/>
              <w:bottom w:val="nil"/>
              <w:right w:val="nil"/>
            </w:tcBorders>
            <w:shd w:val="clear" w:color="auto" w:fill="auto"/>
            <w:noWrap/>
            <w:vAlign w:val="center"/>
            <w:hideMark/>
          </w:tcPr>
          <w:p w14:paraId="4D8E188E" w14:textId="2E4BD952" w:rsidR="00466961" w:rsidRPr="00466961" w:rsidRDefault="00466961" w:rsidP="00552EF7">
            <w:pPr>
              <w:jc w:val="center"/>
              <w:rPr>
                <w:rFonts w:ascii="dcr10" w:eastAsia="Times New Roman" w:hAnsi="dcr10" w:cs="Times New Roman"/>
                <w:i/>
                <w:color w:val="000000"/>
                <w:sz w:val="18"/>
                <w:szCs w:val="18"/>
              </w:rPr>
            </w:pPr>
            <w:r w:rsidRPr="00466961">
              <w:rPr>
                <w:rFonts w:ascii="dcr10" w:eastAsia="Times New Roman" w:hAnsi="dcr10" w:cs="Times New Roman"/>
                <w:i/>
                <w:color w:val="000000"/>
                <w:sz w:val="18"/>
                <w:szCs w:val="18"/>
              </w:rPr>
              <w:t>82.07</w:t>
            </w:r>
          </w:p>
        </w:tc>
      </w:tr>
      <w:tr w:rsidR="00466961" w:rsidRPr="00E21717" w14:paraId="6E5327CD" w14:textId="77777777" w:rsidTr="00552EF7">
        <w:trPr>
          <w:trHeight w:val="302"/>
        </w:trPr>
        <w:tc>
          <w:tcPr>
            <w:tcW w:w="3031" w:type="dxa"/>
            <w:tcBorders>
              <w:top w:val="nil"/>
              <w:left w:val="nil"/>
              <w:bottom w:val="nil"/>
              <w:right w:val="nil"/>
            </w:tcBorders>
            <w:shd w:val="clear" w:color="auto" w:fill="auto"/>
            <w:noWrap/>
            <w:vAlign w:val="center"/>
            <w:hideMark/>
          </w:tcPr>
          <w:p w14:paraId="3C8C7271" w14:textId="77777777" w:rsidR="00466961" w:rsidRPr="00371459" w:rsidRDefault="00466961" w:rsidP="00552EF7">
            <w:pPr>
              <w:rPr>
                <w:rFonts w:ascii="dcr10" w:eastAsia="Times New Roman" w:hAnsi="dcr10" w:cs="Times New Roman"/>
                <w:i/>
                <w:color w:val="000000"/>
                <w:sz w:val="17"/>
                <w:szCs w:val="17"/>
              </w:rPr>
            </w:pPr>
            <w:r w:rsidRPr="00371459">
              <w:rPr>
                <w:rFonts w:ascii="dcr10" w:eastAsia="Times New Roman" w:hAnsi="dcr10" w:cs="Times New Roman"/>
                <w:bCs/>
                <w:i/>
                <w:color w:val="000000"/>
                <w:sz w:val="18"/>
                <w:szCs w:val="18"/>
              </w:rPr>
              <w:t>Median</w:t>
            </w:r>
          </w:p>
        </w:tc>
        <w:tc>
          <w:tcPr>
            <w:tcW w:w="1879" w:type="dxa"/>
            <w:tcBorders>
              <w:top w:val="nil"/>
              <w:left w:val="nil"/>
              <w:bottom w:val="nil"/>
              <w:right w:val="nil"/>
            </w:tcBorders>
            <w:shd w:val="clear" w:color="auto" w:fill="auto"/>
            <w:noWrap/>
            <w:vAlign w:val="center"/>
            <w:hideMark/>
          </w:tcPr>
          <w:p w14:paraId="730F2C25" w14:textId="68E5EEA8" w:rsidR="00466961" w:rsidRPr="00466961" w:rsidRDefault="00466961" w:rsidP="00552EF7">
            <w:pPr>
              <w:jc w:val="center"/>
              <w:rPr>
                <w:rFonts w:ascii="dcr10" w:eastAsia="Times New Roman" w:hAnsi="dcr10" w:cs="Times New Roman"/>
                <w:i/>
                <w:color w:val="000000"/>
                <w:sz w:val="18"/>
                <w:szCs w:val="18"/>
              </w:rPr>
            </w:pPr>
            <w:r w:rsidRPr="00466961">
              <w:rPr>
                <w:rFonts w:ascii="dcr10" w:eastAsia="Times New Roman" w:hAnsi="dcr10" w:cs="Times New Roman"/>
                <w:i/>
                <w:color w:val="000000"/>
                <w:sz w:val="18"/>
                <w:szCs w:val="18"/>
              </w:rPr>
              <w:t>8.13</w:t>
            </w:r>
          </w:p>
        </w:tc>
        <w:tc>
          <w:tcPr>
            <w:tcW w:w="2041" w:type="dxa"/>
            <w:tcBorders>
              <w:top w:val="nil"/>
              <w:left w:val="nil"/>
              <w:bottom w:val="nil"/>
              <w:right w:val="nil"/>
            </w:tcBorders>
            <w:shd w:val="clear" w:color="auto" w:fill="auto"/>
            <w:noWrap/>
            <w:vAlign w:val="center"/>
            <w:hideMark/>
          </w:tcPr>
          <w:p w14:paraId="281D7224" w14:textId="2B3FF2DD" w:rsidR="00466961" w:rsidRPr="00466961" w:rsidRDefault="00466961" w:rsidP="00552EF7">
            <w:pPr>
              <w:jc w:val="center"/>
              <w:rPr>
                <w:rFonts w:ascii="dcr10" w:eastAsia="Times New Roman" w:hAnsi="dcr10" w:cs="Times New Roman"/>
                <w:i/>
                <w:color w:val="000000"/>
                <w:sz w:val="18"/>
                <w:szCs w:val="18"/>
              </w:rPr>
            </w:pPr>
            <w:r w:rsidRPr="00466961">
              <w:rPr>
                <w:rFonts w:ascii="dcr10" w:eastAsia="Times New Roman" w:hAnsi="dcr10" w:cs="Times New Roman"/>
                <w:i/>
                <w:color w:val="000000"/>
                <w:sz w:val="18"/>
                <w:szCs w:val="18"/>
              </w:rPr>
              <w:t>107.43</w:t>
            </w:r>
          </w:p>
        </w:tc>
        <w:tc>
          <w:tcPr>
            <w:tcW w:w="1536" w:type="dxa"/>
            <w:tcBorders>
              <w:top w:val="nil"/>
              <w:left w:val="nil"/>
              <w:bottom w:val="nil"/>
              <w:right w:val="nil"/>
            </w:tcBorders>
            <w:shd w:val="clear" w:color="auto" w:fill="auto"/>
            <w:noWrap/>
            <w:vAlign w:val="center"/>
            <w:hideMark/>
          </w:tcPr>
          <w:p w14:paraId="0CB09BBC" w14:textId="6C1BC29A" w:rsidR="00466961" w:rsidRPr="00466961" w:rsidRDefault="00466961" w:rsidP="00552EF7">
            <w:pPr>
              <w:jc w:val="center"/>
              <w:rPr>
                <w:rFonts w:ascii="dcr10" w:eastAsia="Times New Roman" w:hAnsi="dcr10" w:cs="Times New Roman"/>
                <w:i/>
                <w:color w:val="000000"/>
                <w:sz w:val="18"/>
                <w:szCs w:val="18"/>
              </w:rPr>
            </w:pPr>
            <w:r w:rsidRPr="00466961">
              <w:rPr>
                <w:rFonts w:ascii="dcr10" w:eastAsia="Times New Roman" w:hAnsi="dcr10" w:cs="Times New Roman"/>
                <w:i/>
                <w:color w:val="000000"/>
                <w:sz w:val="18"/>
                <w:szCs w:val="18"/>
              </w:rPr>
              <w:t>62.94</w:t>
            </w:r>
          </w:p>
        </w:tc>
      </w:tr>
      <w:tr w:rsidR="00466961" w:rsidRPr="00E21717" w14:paraId="5D71AC36" w14:textId="77777777" w:rsidTr="00552EF7">
        <w:trPr>
          <w:trHeight w:val="302"/>
        </w:trPr>
        <w:tc>
          <w:tcPr>
            <w:tcW w:w="3031" w:type="dxa"/>
            <w:tcBorders>
              <w:top w:val="nil"/>
              <w:left w:val="nil"/>
              <w:bottom w:val="nil"/>
              <w:right w:val="nil"/>
            </w:tcBorders>
            <w:shd w:val="clear" w:color="auto" w:fill="auto"/>
            <w:noWrap/>
            <w:vAlign w:val="bottom"/>
            <w:hideMark/>
          </w:tcPr>
          <w:p w14:paraId="072ADFA2" w14:textId="77777777" w:rsidR="00466961" w:rsidRPr="00E21717" w:rsidRDefault="00466961" w:rsidP="00552EF7">
            <w:pPr>
              <w:rPr>
                <w:rFonts w:ascii="dcr10" w:eastAsia="Times New Roman" w:hAnsi="dcr10" w:cs="Times New Roman"/>
                <w:i/>
                <w:iCs/>
                <w:color w:val="000000"/>
                <w:sz w:val="17"/>
                <w:szCs w:val="17"/>
              </w:rPr>
            </w:pPr>
            <w:r w:rsidRPr="00E21717">
              <w:rPr>
                <w:rFonts w:ascii="dcr10" w:eastAsia="Times New Roman" w:hAnsi="dcr10" w:cs="Times New Roman"/>
                <w:i/>
                <w:iCs/>
                <w:color w:val="0000FF"/>
                <w:sz w:val="18"/>
                <w:szCs w:val="18"/>
              </w:rPr>
              <w:t xml:space="preserve">Big 6 </w:t>
            </w:r>
            <w:r>
              <w:rPr>
                <w:rFonts w:ascii="dcr10" w:eastAsia="Times New Roman" w:hAnsi="dcr10" w:cs="Times New Roman"/>
                <w:i/>
                <w:iCs/>
                <w:color w:val="0000FF"/>
                <w:sz w:val="18"/>
                <w:szCs w:val="18"/>
              </w:rPr>
              <w:t>Mean</w:t>
            </w:r>
            <w:r w:rsidRPr="00E21717">
              <w:rPr>
                <w:rFonts w:ascii="dcr10" w:eastAsia="Times New Roman" w:hAnsi="dcr10" w:cs="Times New Roman"/>
                <w:i/>
                <w:iCs/>
                <w:color w:val="0000FF"/>
                <w:sz w:val="18"/>
                <w:szCs w:val="18"/>
              </w:rPr>
              <w:t xml:space="preserve"> </w:t>
            </w:r>
          </w:p>
        </w:tc>
        <w:tc>
          <w:tcPr>
            <w:tcW w:w="1879" w:type="dxa"/>
            <w:tcBorders>
              <w:top w:val="nil"/>
              <w:left w:val="nil"/>
              <w:bottom w:val="nil"/>
              <w:right w:val="nil"/>
            </w:tcBorders>
            <w:shd w:val="clear" w:color="auto" w:fill="auto"/>
            <w:noWrap/>
            <w:vAlign w:val="bottom"/>
            <w:hideMark/>
          </w:tcPr>
          <w:p w14:paraId="12D1FC95" w14:textId="717306AC" w:rsidR="00466961" w:rsidRPr="00E21717" w:rsidRDefault="00466961" w:rsidP="00552EF7">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25.33</w:t>
            </w:r>
          </w:p>
        </w:tc>
        <w:tc>
          <w:tcPr>
            <w:tcW w:w="2041" w:type="dxa"/>
            <w:tcBorders>
              <w:top w:val="nil"/>
              <w:left w:val="nil"/>
              <w:bottom w:val="nil"/>
              <w:right w:val="nil"/>
            </w:tcBorders>
            <w:shd w:val="clear" w:color="auto" w:fill="auto"/>
            <w:noWrap/>
            <w:vAlign w:val="bottom"/>
            <w:hideMark/>
          </w:tcPr>
          <w:p w14:paraId="1CD3927C" w14:textId="7871ABD9" w:rsidR="00466961" w:rsidRPr="00E21717" w:rsidRDefault="00466961" w:rsidP="00552EF7">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138.44</w:t>
            </w:r>
          </w:p>
        </w:tc>
        <w:tc>
          <w:tcPr>
            <w:tcW w:w="1536" w:type="dxa"/>
            <w:tcBorders>
              <w:top w:val="nil"/>
              <w:left w:val="nil"/>
              <w:bottom w:val="nil"/>
              <w:right w:val="nil"/>
            </w:tcBorders>
            <w:shd w:val="clear" w:color="auto" w:fill="auto"/>
            <w:noWrap/>
            <w:vAlign w:val="bottom"/>
            <w:hideMark/>
          </w:tcPr>
          <w:p w14:paraId="7BA754EB" w14:textId="06DA3962" w:rsidR="00466961" w:rsidRPr="00E21717" w:rsidRDefault="00466961" w:rsidP="00552EF7">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69.35</w:t>
            </w:r>
          </w:p>
        </w:tc>
      </w:tr>
      <w:tr w:rsidR="00466961" w:rsidRPr="00E21717" w14:paraId="263B7ECC" w14:textId="77777777" w:rsidTr="00552EF7">
        <w:trPr>
          <w:trHeight w:val="302"/>
        </w:trPr>
        <w:tc>
          <w:tcPr>
            <w:tcW w:w="3031" w:type="dxa"/>
            <w:tcBorders>
              <w:top w:val="nil"/>
              <w:left w:val="nil"/>
              <w:bottom w:val="nil"/>
              <w:right w:val="nil"/>
            </w:tcBorders>
            <w:shd w:val="clear" w:color="auto" w:fill="auto"/>
            <w:noWrap/>
            <w:vAlign w:val="bottom"/>
            <w:hideMark/>
          </w:tcPr>
          <w:p w14:paraId="6CE882BC" w14:textId="77777777" w:rsidR="00466961" w:rsidRPr="00E21717" w:rsidRDefault="00466961" w:rsidP="00552EF7">
            <w:pPr>
              <w:rPr>
                <w:rFonts w:ascii="dcr10" w:eastAsia="Times New Roman" w:hAnsi="dcr10" w:cs="Times New Roman"/>
                <w:i/>
                <w:iCs/>
                <w:color w:val="000000"/>
                <w:sz w:val="17"/>
                <w:szCs w:val="17"/>
              </w:rPr>
            </w:pPr>
            <w:r w:rsidRPr="00E21717">
              <w:rPr>
                <w:rFonts w:ascii="dcr10" w:eastAsia="Times New Roman" w:hAnsi="dcr10" w:cs="Times New Roman"/>
                <w:i/>
                <w:iCs/>
                <w:color w:val="0000FF"/>
                <w:sz w:val="18"/>
                <w:szCs w:val="18"/>
              </w:rPr>
              <w:t xml:space="preserve">Big 6 </w:t>
            </w:r>
            <w:r>
              <w:rPr>
                <w:rFonts w:ascii="dcr10" w:eastAsia="Times New Roman" w:hAnsi="dcr10" w:cs="Times New Roman"/>
                <w:i/>
                <w:iCs/>
                <w:color w:val="0000FF"/>
                <w:sz w:val="18"/>
                <w:szCs w:val="18"/>
              </w:rPr>
              <w:t>Median</w:t>
            </w:r>
            <w:r w:rsidRPr="00E21717">
              <w:rPr>
                <w:rFonts w:ascii="dcr10" w:eastAsia="Times New Roman" w:hAnsi="dcr10" w:cs="Times New Roman"/>
                <w:i/>
                <w:iCs/>
                <w:color w:val="0000FF"/>
                <w:sz w:val="18"/>
                <w:szCs w:val="18"/>
              </w:rPr>
              <w:t xml:space="preserve"> </w:t>
            </w:r>
          </w:p>
        </w:tc>
        <w:tc>
          <w:tcPr>
            <w:tcW w:w="1879" w:type="dxa"/>
            <w:tcBorders>
              <w:top w:val="nil"/>
              <w:left w:val="nil"/>
              <w:bottom w:val="nil"/>
              <w:right w:val="nil"/>
            </w:tcBorders>
            <w:shd w:val="clear" w:color="auto" w:fill="auto"/>
            <w:noWrap/>
            <w:vAlign w:val="bottom"/>
            <w:hideMark/>
          </w:tcPr>
          <w:p w14:paraId="2EEC4E73" w14:textId="30E086F6" w:rsidR="00466961" w:rsidRPr="00E21717" w:rsidRDefault="00466961" w:rsidP="00552EF7">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23.46</w:t>
            </w:r>
          </w:p>
        </w:tc>
        <w:tc>
          <w:tcPr>
            <w:tcW w:w="2041" w:type="dxa"/>
            <w:tcBorders>
              <w:top w:val="nil"/>
              <w:left w:val="nil"/>
              <w:bottom w:val="nil"/>
              <w:right w:val="nil"/>
            </w:tcBorders>
            <w:shd w:val="clear" w:color="auto" w:fill="auto"/>
            <w:noWrap/>
            <w:vAlign w:val="bottom"/>
            <w:hideMark/>
          </w:tcPr>
          <w:p w14:paraId="3A8A57D6" w14:textId="4D07A81F" w:rsidR="00466961" w:rsidRPr="00E21717" w:rsidRDefault="00466961" w:rsidP="00552EF7">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152.63</w:t>
            </w:r>
          </w:p>
        </w:tc>
        <w:tc>
          <w:tcPr>
            <w:tcW w:w="1536" w:type="dxa"/>
            <w:tcBorders>
              <w:top w:val="nil"/>
              <w:left w:val="nil"/>
              <w:bottom w:val="nil"/>
              <w:right w:val="nil"/>
            </w:tcBorders>
            <w:shd w:val="clear" w:color="auto" w:fill="auto"/>
            <w:noWrap/>
            <w:vAlign w:val="bottom"/>
            <w:hideMark/>
          </w:tcPr>
          <w:p w14:paraId="68588036" w14:textId="09FDDEFC" w:rsidR="00466961" w:rsidRPr="00E21717" w:rsidRDefault="00466961" w:rsidP="00552EF7">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72.42</w:t>
            </w:r>
          </w:p>
        </w:tc>
      </w:tr>
    </w:tbl>
    <w:p w14:paraId="67DA2DBA" w14:textId="77777777" w:rsidR="00552EF7" w:rsidRDefault="00552EF7">
      <w:r>
        <w:br w:type="page"/>
      </w:r>
    </w:p>
    <w:tbl>
      <w:tblPr>
        <w:tblpPr w:leftFromText="180" w:rightFromText="180" w:vertAnchor="page" w:horzAnchor="page" w:tblpX="1909" w:tblpY="3241"/>
        <w:tblW w:w="8487" w:type="dxa"/>
        <w:tblLook w:val="04A0" w:firstRow="1" w:lastRow="0" w:firstColumn="1" w:lastColumn="0" w:noHBand="0" w:noVBand="1"/>
      </w:tblPr>
      <w:tblGrid>
        <w:gridCol w:w="3031"/>
        <w:gridCol w:w="1879"/>
        <w:gridCol w:w="2041"/>
        <w:gridCol w:w="1536"/>
      </w:tblGrid>
      <w:tr w:rsidR="00552EF7" w:rsidRPr="00E21717" w14:paraId="73C14FDF" w14:textId="77777777" w:rsidTr="00552EF7">
        <w:trPr>
          <w:trHeight w:val="302"/>
        </w:trPr>
        <w:tc>
          <w:tcPr>
            <w:tcW w:w="3031" w:type="dxa"/>
            <w:tcBorders>
              <w:top w:val="nil"/>
              <w:left w:val="nil"/>
              <w:bottom w:val="nil"/>
              <w:right w:val="nil"/>
            </w:tcBorders>
            <w:shd w:val="clear" w:color="auto" w:fill="auto"/>
            <w:noWrap/>
            <w:vAlign w:val="bottom"/>
          </w:tcPr>
          <w:p w14:paraId="25C3769D" w14:textId="5A22105A" w:rsidR="00552EF7" w:rsidRPr="00E21717" w:rsidRDefault="00552EF7" w:rsidP="00552EF7">
            <w:pPr>
              <w:rPr>
                <w:rFonts w:ascii="dcr10" w:eastAsia="Times New Roman" w:hAnsi="dcr10" w:cs="Times New Roman"/>
                <w:i/>
                <w:iCs/>
                <w:color w:val="0000FF"/>
                <w:sz w:val="18"/>
                <w:szCs w:val="18"/>
              </w:rPr>
            </w:pPr>
          </w:p>
        </w:tc>
        <w:tc>
          <w:tcPr>
            <w:tcW w:w="1879" w:type="dxa"/>
            <w:tcBorders>
              <w:top w:val="nil"/>
              <w:left w:val="nil"/>
              <w:bottom w:val="nil"/>
              <w:right w:val="nil"/>
            </w:tcBorders>
            <w:shd w:val="clear" w:color="auto" w:fill="auto"/>
            <w:noWrap/>
            <w:vAlign w:val="bottom"/>
          </w:tcPr>
          <w:p w14:paraId="56AA36B5" w14:textId="77777777" w:rsidR="00552EF7" w:rsidRDefault="00552EF7" w:rsidP="00552EF7">
            <w:pPr>
              <w:jc w:val="center"/>
              <w:rPr>
                <w:rFonts w:ascii="dcr10" w:eastAsia="Times New Roman" w:hAnsi="dcr10" w:cs="Times New Roman"/>
                <w:i/>
                <w:iCs/>
                <w:color w:val="0000FF"/>
                <w:sz w:val="18"/>
                <w:szCs w:val="18"/>
              </w:rPr>
            </w:pPr>
          </w:p>
        </w:tc>
        <w:tc>
          <w:tcPr>
            <w:tcW w:w="2041" w:type="dxa"/>
            <w:tcBorders>
              <w:top w:val="nil"/>
              <w:left w:val="nil"/>
              <w:bottom w:val="nil"/>
              <w:right w:val="nil"/>
            </w:tcBorders>
            <w:shd w:val="clear" w:color="auto" w:fill="auto"/>
            <w:noWrap/>
            <w:vAlign w:val="bottom"/>
          </w:tcPr>
          <w:p w14:paraId="5B019724" w14:textId="77777777" w:rsidR="00552EF7" w:rsidRDefault="00552EF7" w:rsidP="00552EF7">
            <w:pPr>
              <w:jc w:val="center"/>
              <w:rPr>
                <w:rFonts w:ascii="dcr10" w:eastAsia="Times New Roman" w:hAnsi="dcr10" w:cs="Times New Roman"/>
                <w:i/>
                <w:iCs/>
                <w:color w:val="0000FF"/>
                <w:sz w:val="18"/>
                <w:szCs w:val="18"/>
              </w:rPr>
            </w:pPr>
          </w:p>
        </w:tc>
        <w:tc>
          <w:tcPr>
            <w:tcW w:w="1536" w:type="dxa"/>
            <w:tcBorders>
              <w:top w:val="nil"/>
              <w:left w:val="nil"/>
              <w:bottom w:val="nil"/>
              <w:right w:val="nil"/>
            </w:tcBorders>
            <w:shd w:val="clear" w:color="auto" w:fill="auto"/>
            <w:noWrap/>
            <w:vAlign w:val="bottom"/>
          </w:tcPr>
          <w:p w14:paraId="671034AA" w14:textId="77777777" w:rsidR="00552EF7" w:rsidRDefault="00552EF7" w:rsidP="00552EF7">
            <w:pPr>
              <w:jc w:val="center"/>
              <w:rPr>
                <w:rFonts w:ascii="dcr10" w:eastAsia="Times New Roman" w:hAnsi="dcr10" w:cs="Times New Roman"/>
                <w:i/>
                <w:iCs/>
                <w:color w:val="0000FF"/>
                <w:sz w:val="18"/>
                <w:szCs w:val="18"/>
              </w:rPr>
            </w:pPr>
          </w:p>
        </w:tc>
      </w:tr>
    </w:tbl>
    <w:p w14:paraId="717DEBFC" w14:textId="6F072C1A" w:rsidR="00552EF7" w:rsidRDefault="00552EF7" w:rsidP="00552EF7">
      <w:pPr>
        <w:spacing w:after="120"/>
        <w:jc w:val="center"/>
        <w:rPr>
          <w:rFonts w:ascii="dcr10" w:hAnsi="dcr10"/>
        </w:rPr>
      </w:pPr>
      <w:bookmarkStart w:id="0" w:name="_GoBack"/>
      <w:proofErr w:type="gramStart"/>
      <w:r w:rsidRPr="00E21717">
        <w:rPr>
          <w:rFonts w:ascii="dcr10" w:hAnsi="dcr10"/>
        </w:rPr>
        <w:t xml:space="preserve">Table </w:t>
      </w:r>
      <w:r>
        <w:rPr>
          <w:rFonts w:ascii="dcr10" w:hAnsi="dcr10"/>
        </w:rPr>
        <w:t>X</w:t>
      </w:r>
      <w:r w:rsidRPr="00E21717">
        <w:rPr>
          <w:rFonts w:ascii="dcr10" w:hAnsi="dcr10"/>
        </w:rPr>
        <w:br/>
      </w:r>
      <w:r>
        <w:rPr>
          <w:rFonts w:ascii="dcr10" w:hAnsi="dcr10"/>
        </w:rPr>
        <w:t>Price to Book Ratio for International Banks.</w:t>
      </w:r>
      <w:proofErr w:type="gramEnd"/>
      <w:r>
        <w:rPr>
          <w:rFonts w:ascii="dcr10" w:hAnsi="dcr10"/>
        </w:rPr>
        <w:t xml:space="preserve"> </w:t>
      </w:r>
    </w:p>
    <w:p w14:paraId="6AFD6789" w14:textId="618CB578" w:rsidR="00552EF7" w:rsidRPr="00E21717" w:rsidRDefault="00552EF7" w:rsidP="00552EF7">
      <w:pPr>
        <w:jc w:val="both"/>
        <w:rPr>
          <w:rFonts w:ascii="dcr10" w:hAnsi="dcr10"/>
        </w:rPr>
      </w:pPr>
      <w:r w:rsidRPr="00E21717">
        <w:rPr>
          <w:rFonts w:ascii="dcr10" w:hAnsi="dcr10"/>
        </w:rPr>
        <w:t xml:space="preserve">This table reports </w:t>
      </w:r>
      <w:r w:rsidR="00D964DB">
        <w:rPr>
          <w:rFonts w:ascii="dcr10" w:hAnsi="dcr10"/>
        </w:rPr>
        <w:t>price to book ratios</w:t>
      </w:r>
      <w:r w:rsidRPr="00E21717">
        <w:rPr>
          <w:rFonts w:ascii="dcr10" w:hAnsi="dcr10"/>
        </w:rPr>
        <w:t xml:space="preserve"> for the thirty largest international financial institutions (excluding Chinese and American banks)</w:t>
      </w:r>
      <w:r>
        <w:rPr>
          <w:rFonts w:ascii="dcr10" w:hAnsi="dcr10"/>
        </w:rPr>
        <w:t xml:space="preserve"> for whom data is available</w:t>
      </w:r>
      <w:r w:rsidRPr="00E21717">
        <w:rPr>
          <w:rFonts w:ascii="dcr10" w:hAnsi="dcr10"/>
        </w:rPr>
        <w:t>.</w:t>
      </w:r>
      <w:r>
        <w:rPr>
          <w:rFonts w:ascii="dcr10" w:hAnsi="dcr10"/>
        </w:rPr>
        <w:t xml:space="preserve"> </w:t>
      </w:r>
      <w:r w:rsidRPr="00E21717">
        <w:rPr>
          <w:rFonts w:ascii="dcr10" w:hAnsi="dcr10"/>
        </w:rPr>
        <w:t>Pre-crisis is 200</w:t>
      </w:r>
      <w:r>
        <w:rPr>
          <w:rFonts w:ascii="dcr10" w:hAnsi="dcr10"/>
        </w:rPr>
        <w:t xml:space="preserve">2-2007 </w:t>
      </w:r>
      <w:r w:rsidRPr="00E21717">
        <w:rPr>
          <w:rFonts w:ascii="dcr10" w:hAnsi="dcr10"/>
        </w:rPr>
        <w:t>and post-crisis is 2010-2014. We also compare pre-crisis to the most recent 2014 data.</w:t>
      </w:r>
      <w:r>
        <w:rPr>
          <w:rFonts w:ascii="dcr10" w:hAnsi="dcr10"/>
        </w:rPr>
        <w:t xml:space="preserve"> </w:t>
      </w:r>
    </w:p>
    <w:p w14:paraId="1679DA53" w14:textId="77777777" w:rsidR="00552EF7" w:rsidRPr="00E21717" w:rsidRDefault="00552EF7" w:rsidP="00552EF7">
      <w:pPr>
        <w:jc w:val="both"/>
        <w:rPr>
          <w:rFonts w:ascii="dcr10" w:hAnsi="dcr10"/>
        </w:rPr>
      </w:pPr>
    </w:p>
    <w:tbl>
      <w:tblPr>
        <w:tblpPr w:leftFromText="180" w:rightFromText="180" w:vertAnchor="page" w:horzAnchor="page" w:tblpX="1909" w:tblpY="3241"/>
        <w:tblW w:w="8487" w:type="dxa"/>
        <w:tblLook w:val="04A0" w:firstRow="1" w:lastRow="0" w:firstColumn="1" w:lastColumn="0" w:noHBand="0" w:noVBand="1"/>
      </w:tblPr>
      <w:tblGrid>
        <w:gridCol w:w="3031"/>
        <w:gridCol w:w="1879"/>
        <w:gridCol w:w="2041"/>
        <w:gridCol w:w="1536"/>
      </w:tblGrid>
      <w:tr w:rsidR="00552EF7" w:rsidRPr="00E21717" w14:paraId="1AC753EB" w14:textId="77777777" w:rsidTr="00552EF7">
        <w:trPr>
          <w:trHeight w:val="302"/>
        </w:trPr>
        <w:tc>
          <w:tcPr>
            <w:tcW w:w="3031" w:type="dxa"/>
            <w:tcBorders>
              <w:top w:val="single" w:sz="4" w:space="0" w:color="auto"/>
              <w:left w:val="nil"/>
              <w:bottom w:val="single" w:sz="4" w:space="0" w:color="auto"/>
              <w:right w:val="nil"/>
            </w:tcBorders>
            <w:shd w:val="clear" w:color="auto" w:fill="auto"/>
            <w:noWrap/>
            <w:vAlign w:val="center"/>
            <w:hideMark/>
          </w:tcPr>
          <w:p w14:paraId="5BB956D3" w14:textId="77777777" w:rsidR="00552EF7" w:rsidRPr="00E21717" w:rsidRDefault="00552EF7" w:rsidP="00552EF7">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 xml:space="preserve">Bank  </w:t>
            </w:r>
          </w:p>
        </w:tc>
        <w:tc>
          <w:tcPr>
            <w:tcW w:w="1879" w:type="dxa"/>
            <w:tcBorders>
              <w:top w:val="single" w:sz="4" w:space="0" w:color="auto"/>
              <w:left w:val="nil"/>
              <w:bottom w:val="single" w:sz="4" w:space="0" w:color="auto"/>
              <w:right w:val="nil"/>
            </w:tcBorders>
            <w:shd w:val="clear" w:color="auto" w:fill="auto"/>
            <w:noWrap/>
            <w:vAlign w:val="center"/>
            <w:hideMark/>
          </w:tcPr>
          <w:p w14:paraId="7044D117" w14:textId="77777777" w:rsidR="00552EF7" w:rsidRPr="00E21717" w:rsidRDefault="00552EF7" w:rsidP="00552EF7">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Pre-crisis average</w:t>
            </w:r>
          </w:p>
        </w:tc>
        <w:tc>
          <w:tcPr>
            <w:tcW w:w="2041" w:type="dxa"/>
            <w:tcBorders>
              <w:top w:val="single" w:sz="4" w:space="0" w:color="auto"/>
              <w:left w:val="nil"/>
              <w:bottom w:val="single" w:sz="4" w:space="0" w:color="auto"/>
              <w:right w:val="nil"/>
            </w:tcBorders>
            <w:shd w:val="clear" w:color="auto" w:fill="auto"/>
            <w:noWrap/>
            <w:vAlign w:val="center"/>
            <w:hideMark/>
          </w:tcPr>
          <w:p w14:paraId="1B16438A" w14:textId="77777777" w:rsidR="00552EF7" w:rsidRPr="00E21717" w:rsidRDefault="00552EF7" w:rsidP="00552EF7">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Post-crisis average</w:t>
            </w:r>
          </w:p>
        </w:tc>
        <w:tc>
          <w:tcPr>
            <w:tcW w:w="1536" w:type="dxa"/>
            <w:tcBorders>
              <w:top w:val="single" w:sz="4" w:space="0" w:color="auto"/>
              <w:left w:val="nil"/>
              <w:bottom w:val="single" w:sz="4" w:space="0" w:color="auto"/>
              <w:right w:val="nil"/>
            </w:tcBorders>
            <w:shd w:val="clear" w:color="auto" w:fill="auto"/>
            <w:noWrap/>
            <w:vAlign w:val="center"/>
            <w:hideMark/>
          </w:tcPr>
          <w:p w14:paraId="4029B310" w14:textId="77777777" w:rsidR="00552EF7" w:rsidRPr="00E21717" w:rsidRDefault="00552EF7" w:rsidP="00552EF7">
            <w:pPr>
              <w:jc w:val="center"/>
              <w:rPr>
                <w:rFonts w:ascii="dcr10" w:eastAsia="Times New Roman" w:hAnsi="dcr10" w:cs="Times New Roman"/>
                <w:bCs/>
                <w:color w:val="000000"/>
                <w:sz w:val="20"/>
                <w:szCs w:val="20"/>
              </w:rPr>
            </w:pPr>
            <w:r w:rsidRPr="00E21717">
              <w:rPr>
                <w:rFonts w:ascii="dcr10" w:eastAsia="Times New Roman" w:hAnsi="dcr10" w:cs="Times New Roman"/>
                <w:b/>
                <w:bCs/>
                <w:color w:val="000000"/>
                <w:sz w:val="18"/>
                <w:szCs w:val="18"/>
              </w:rPr>
              <w:t>2014 average</w:t>
            </w:r>
          </w:p>
        </w:tc>
      </w:tr>
      <w:tr w:rsidR="00BB1075" w:rsidRPr="00E21717" w14:paraId="577E17D5" w14:textId="77777777" w:rsidTr="00B86BE9">
        <w:trPr>
          <w:trHeight w:val="302"/>
        </w:trPr>
        <w:tc>
          <w:tcPr>
            <w:tcW w:w="3031" w:type="dxa"/>
            <w:tcBorders>
              <w:top w:val="single" w:sz="4" w:space="0" w:color="auto"/>
              <w:left w:val="nil"/>
              <w:bottom w:val="nil"/>
              <w:right w:val="nil"/>
            </w:tcBorders>
            <w:shd w:val="clear" w:color="auto" w:fill="auto"/>
            <w:noWrap/>
            <w:vAlign w:val="center"/>
            <w:hideMark/>
          </w:tcPr>
          <w:p w14:paraId="6BEB0F72" w14:textId="77777777" w:rsidR="00BB1075" w:rsidRPr="00E21717" w:rsidRDefault="00BB1075" w:rsidP="00B86BE9">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Credit </w:t>
            </w:r>
            <w:proofErr w:type="spellStart"/>
            <w:r w:rsidRPr="00E21717">
              <w:rPr>
                <w:rFonts w:ascii="dcr10" w:eastAsia="Times New Roman" w:hAnsi="dcr10" w:cs="Times New Roman"/>
                <w:color w:val="000000"/>
                <w:sz w:val="18"/>
                <w:szCs w:val="18"/>
              </w:rPr>
              <w:t>Agricole</w:t>
            </w:r>
            <w:proofErr w:type="spellEnd"/>
            <w:r w:rsidRPr="00E21717">
              <w:rPr>
                <w:rFonts w:ascii="dcr10" w:eastAsia="Times New Roman" w:hAnsi="dcr10" w:cs="Times New Roman"/>
                <w:color w:val="000000"/>
                <w:sz w:val="18"/>
                <w:szCs w:val="18"/>
              </w:rPr>
              <w:t xml:space="preserve"> Group</w:t>
            </w:r>
          </w:p>
        </w:tc>
        <w:tc>
          <w:tcPr>
            <w:tcW w:w="1879" w:type="dxa"/>
            <w:tcBorders>
              <w:top w:val="single" w:sz="4" w:space="0" w:color="auto"/>
              <w:left w:val="nil"/>
              <w:bottom w:val="nil"/>
              <w:right w:val="nil"/>
            </w:tcBorders>
            <w:shd w:val="clear" w:color="auto" w:fill="auto"/>
            <w:noWrap/>
            <w:vAlign w:val="center"/>
            <w:hideMark/>
          </w:tcPr>
          <w:p w14:paraId="33BC87A5" w14:textId="3FCA60CB"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1.24</w:t>
            </w:r>
          </w:p>
        </w:tc>
        <w:tc>
          <w:tcPr>
            <w:tcW w:w="2041" w:type="dxa"/>
            <w:tcBorders>
              <w:top w:val="single" w:sz="4" w:space="0" w:color="auto"/>
              <w:left w:val="nil"/>
              <w:bottom w:val="nil"/>
              <w:right w:val="nil"/>
            </w:tcBorders>
            <w:shd w:val="clear" w:color="auto" w:fill="auto"/>
            <w:noWrap/>
            <w:vAlign w:val="center"/>
            <w:hideMark/>
          </w:tcPr>
          <w:p w14:paraId="62AC88E6" w14:textId="56E0867D"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0.47</w:t>
            </w:r>
          </w:p>
        </w:tc>
        <w:tc>
          <w:tcPr>
            <w:tcW w:w="1536" w:type="dxa"/>
            <w:tcBorders>
              <w:top w:val="single" w:sz="4" w:space="0" w:color="auto"/>
              <w:left w:val="nil"/>
              <w:bottom w:val="nil"/>
              <w:right w:val="nil"/>
            </w:tcBorders>
            <w:shd w:val="clear" w:color="auto" w:fill="auto"/>
            <w:noWrap/>
            <w:vAlign w:val="center"/>
            <w:hideMark/>
          </w:tcPr>
          <w:p w14:paraId="100CD618" w14:textId="0A91A183"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0.60</w:t>
            </w:r>
          </w:p>
        </w:tc>
      </w:tr>
      <w:tr w:rsidR="00BB1075" w:rsidRPr="00E21717" w14:paraId="0537AE45" w14:textId="77777777" w:rsidTr="00B86BE9">
        <w:trPr>
          <w:trHeight w:val="302"/>
        </w:trPr>
        <w:tc>
          <w:tcPr>
            <w:tcW w:w="3031" w:type="dxa"/>
            <w:tcBorders>
              <w:top w:val="nil"/>
              <w:left w:val="nil"/>
              <w:bottom w:val="nil"/>
              <w:right w:val="nil"/>
            </w:tcBorders>
            <w:shd w:val="clear" w:color="auto" w:fill="auto"/>
            <w:noWrap/>
            <w:vAlign w:val="center"/>
            <w:hideMark/>
          </w:tcPr>
          <w:p w14:paraId="1B651A4D" w14:textId="77777777" w:rsidR="00BB1075" w:rsidRPr="00E21717" w:rsidRDefault="00BB1075" w:rsidP="00B86BE9">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Australia &amp; NZ Bank</w:t>
            </w:r>
          </w:p>
        </w:tc>
        <w:tc>
          <w:tcPr>
            <w:tcW w:w="1879" w:type="dxa"/>
            <w:tcBorders>
              <w:top w:val="nil"/>
              <w:left w:val="nil"/>
              <w:bottom w:val="nil"/>
              <w:right w:val="nil"/>
            </w:tcBorders>
            <w:shd w:val="clear" w:color="auto" w:fill="auto"/>
            <w:noWrap/>
            <w:vAlign w:val="center"/>
            <w:hideMark/>
          </w:tcPr>
          <w:p w14:paraId="10AEC03C" w14:textId="055A579B"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2.51</w:t>
            </w:r>
          </w:p>
        </w:tc>
        <w:tc>
          <w:tcPr>
            <w:tcW w:w="2041" w:type="dxa"/>
            <w:tcBorders>
              <w:top w:val="nil"/>
              <w:left w:val="nil"/>
              <w:bottom w:val="nil"/>
              <w:right w:val="nil"/>
            </w:tcBorders>
            <w:shd w:val="clear" w:color="auto" w:fill="auto"/>
            <w:noWrap/>
            <w:vAlign w:val="center"/>
            <w:hideMark/>
          </w:tcPr>
          <w:p w14:paraId="1B11837C" w14:textId="193DDBEA"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1.73</w:t>
            </w:r>
          </w:p>
        </w:tc>
        <w:tc>
          <w:tcPr>
            <w:tcW w:w="1536" w:type="dxa"/>
            <w:tcBorders>
              <w:top w:val="nil"/>
              <w:left w:val="nil"/>
              <w:bottom w:val="nil"/>
              <w:right w:val="nil"/>
            </w:tcBorders>
            <w:shd w:val="clear" w:color="auto" w:fill="auto"/>
            <w:noWrap/>
            <w:vAlign w:val="center"/>
            <w:hideMark/>
          </w:tcPr>
          <w:p w14:paraId="09EDDCAE" w14:textId="32306162"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1.86</w:t>
            </w:r>
          </w:p>
        </w:tc>
      </w:tr>
      <w:tr w:rsidR="00BB1075" w:rsidRPr="00E21717" w14:paraId="0D343677" w14:textId="77777777" w:rsidTr="00B86BE9">
        <w:trPr>
          <w:trHeight w:val="302"/>
        </w:trPr>
        <w:tc>
          <w:tcPr>
            <w:tcW w:w="3031" w:type="dxa"/>
            <w:tcBorders>
              <w:top w:val="nil"/>
              <w:left w:val="nil"/>
              <w:bottom w:val="nil"/>
              <w:right w:val="nil"/>
            </w:tcBorders>
            <w:shd w:val="clear" w:color="auto" w:fill="auto"/>
            <w:noWrap/>
            <w:vAlign w:val="center"/>
            <w:hideMark/>
          </w:tcPr>
          <w:p w14:paraId="4425433D" w14:textId="77777777" w:rsidR="00BB1075" w:rsidRPr="00E21717" w:rsidRDefault="00BB1075" w:rsidP="00B86BE9">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Banco</w:t>
            </w:r>
            <w:proofErr w:type="spellEnd"/>
            <w:r w:rsidRPr="00E21717">
              <w:rPr>
                <w:rFonts w:ascii="dcr10" w:eastAsia="Times New Roman" w:hAnsi="dcr10" w:cs="Times New Roman"/>
                <w:color w:val="000000"/>
                <w:sz w:val="18"/>
                <w:szCs w:val="18"/>
              </w:rPr>
              <w:t xml:space="preserve"> do </w:t>
            </w:r>
            <w:proofErr w:type="spellStart"/>
            <w:r w:rsidRPr="00E21717">
              <w:rPr>
                <w:rFonts w:ascii="dcr10" w:eastAsia="Times New Roman" w:hAnsi="dcr10" w:cs="Times New Roman"/>
                <w:color w:val="000000"/>
                <w:sz w:val="18"/>
                <w:szCs w:val="18"/>
              </w:rPr>
              <w:t>Brasil</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64916183" w14:textId="1DAEA040"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1.75</w:t>
            </w:r>
          </w:p>
        </w:tc>
        <w:tc>
          <w:tcPr>
            <w:tcW w:w="2041" w:type="dxa"/>
            <w:tcBorders>
              <w:top w:val="nil"/>
              <w:left w:val="nil"/>
              <w:bottom w:val="nil"/>
              <w:right w:val="nil"/>
            </w:tcBorders>
            <w:shd w:val="clear" w:color="auto" w:fill="auto"/>
            <w:noWrap/>
            <w:vAlign w:val="center"/>
            <w:hideMark/>
          </w:tcPr>
          <w:p w14:paraId="3856BD13" w14:textId="779D2201"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1.32</w:t>
            </w:r>
          </w:p>
        </w:tc>
        <w:tc>
          <w:tcPr>
            <w:tcW w:w="1536" w:type="dxa"/>
            <w:tcBorders>
              <w:top w:val="nil"/>
              <w:left w:val="nil"/>
              <w:bottom w:val="nil"/>
              <w:right w:val="nil"/>
            </w:tcBorders>
            <w:shd w:val="clear" w:color="auto" w:fill="auto"/>
            <w:noWrap/>
            <w:vAlign w:val="center"/>
            <w:hideMark/>
          </w:tcPr>
          <w:p w14:paraId="72A05D9D" w14:textId="06DA4813"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0.98</w:t>
            </w:r>
          </w:p>
        </w:tc>
      </w:tr>
      <w:tr w:rsidR="00BB1075" w:rsidRPr="00E21717" w14:paraId="4563F908" w14:textId="77777777" w:rsidTr="00B86BE9">
        <w:trPr>
          <w:trHeight w:val="302"/>
        </w:trPr>
        <w:tc>
          <w:tcPr>
            <w:tcW w:w="3031" w:type="dxa"/>
            <w:tcBorders>
              <w:top w:val="nil"/>
              <w:left w:val="nil"/>
              <w:bottom w:val="nil"/>
              <w:right w:val="nil"/>
            </w:tcBorders>
            <w:shd w:val="clear" w:color="auto" w:fill="auto"/>
            <w:noWrap/>
            <w:vAlign w:val="center"/>
            <w:hideMark/>
          </w:tcPr>
          <w:p w14:paraId="271A3266" w14:textId="77777777" w:rsidR="00BB1075" w:rsidRPr="00E21717" w:rsidRDefault="00BB1075" w:rsidP="00B86BE9">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Bank of Montreal </w:t>
            </w:r>
          </w:p>
        </w:tc>
        <w:tc>
          <w:tcPr>
            <w:tcW w:w="1879" w:type="dxa"/>
            <w:tcBorders>
              <w:top w:val="nil"/>
              <w:left w:val="nil"/>
              <w:bottom w:val="nil"/>
              <w:right w:val="nil"/>
            </w:tcBorders>
            <w:shd w:val="clear" w:color="auto" w:fill="auto"/>
            <w:noWrap/>
            <w:vAlign w:val="center"/>
            <w:hideMark/>
          </w:tcPr>
          <w:p w14:paraId="330C2B41" w14:textId="5F6D05B8"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2.22</w:t>
            </w:r>
          </w:p>
        </w:tc>
        <w:tc>
          <w:tcPr>
            <w:tcW w:w="2041" w:type="dxa"/>
            <w:tcBorders>
              <w:top w:val="nil"/>
              <w:left w:val="nil"/>
              <w:bottom w:val="nil"/>
              <w:right w:val="nil"/>
            </w:tcBorders>
            <w:shd w:val="clear" w:color="auto" w:fill="auto"/>
            <w:noWrap/>
            <w:vAlign w:val="center"/>
            <w:hideMark/>
          </w:tcPr>
          <w:p w14:paraId="74E418ED" w14:textId="2B2FA1A2"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1.64</w:t>
            </w:r>
          </w:p>
        </w:tc>
        <w:tc>
          <w:tcPr>
            <w:tcW w:w="1536" w:type="dxa"/>
            <w:tcBorders>
              <w:top w:val="nil"/>
              <w:left w:val="nil"/>
              <w:bottom w:val="nil"/>
              <w:right w:val="nil"/>
            </w:tcBorders>
            <w:shd w:val="clear" w:color="auto" w:fill="auto"/>
            <w:noWrap/>
            <w:vAlign w:val="center"/>
            <w:hideMark/>
          </w:tcPr>
          <w:p w14:paraId="6D9D44C4" w14:textId="7F52FC10"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1.67</w:t>
            </w:r>
          </w:p>
        </w:tc>
      </w:tr>
      <w:tr w:rsidR="00BB1075" w:rsidRPr="00E21717" w14:paraId="2BF72497" w14:textId="77777777" w:rsidTr="00B86BE9">
        <w:trPr>
          <w:trHeight w:val="302"/>
        </w:trPr>
        <w:tc>
          <w:tcPr>
            <w:tcW w:w="3031" w:type="dxa"/>
            <w:tcBorders>
              <w:top w:val="nil"/>
              <w:left w:val="nil"/>
              <w:bottom w:val="nil"/>
              <w:right w:val="nil"/>
            </w:tcBorders>
            <w:shd w:val="clear" w:color="auto" w:fill="auto"/>
            <w:noWrap/>
            <w:vAlign w:val="center"/>
            <w:hideMark/>
          </w:tcPr>
          <w:p w14:paraId="27557C0D" w14:textId="77777777" w:rsidR="00BB1075" w:rsidRPr="00E21717" w:rsidRDefault="00BB1075" w:rsidP="00B86BE9">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Barclays PLC</w:t>
            </w:r>
          </w:p>
        </w:tc>
        <w:tc>
          <w:tcPr>
            <w:tcW w:w="1879" w:type="dxa"/>
            <w:tcBorders>
              <w:top w:val="nil"/>
              <w:left w:val="nil"/>
              <w:bottom w:val="nil"/>
              <w:right w:val="nil"/>
            </w:tcBorders>
            <w:shd w:val="clear" w:color="auto" w:fill="auto"/>
            <w:noWrap/>
            <w:vAlign w:val="center"/>
            <w:hideMark/>
          </w:tcPr>
          <w:p w14:paraId="1584D7E4" w14:textId="1E2AE89C"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2.12</w:t>
            </w:r>
          </w:p>
        </w:tc>
        <w:tc>
          <w:tcPr>
            <w:tcW w:w="2041" w:type="dxa"/>
            <w:tcBorders>
              <w:top w:val="nil"/>
              <w:left w:val="nil"/>
              <w:bottom w:val="nil"/>
              <w:right w:val="nil"/>
            </w:tcBorders>
            <w:shd w:val="clear" w:color="auto" w:fill="auto"/>
            <w:noWrap/>
            <w:vAlign w:val="center"/>
            <w:hideMark/>
          </w:tcPr>
          <w:p w14:paraId="245AFF26" w14:textId="2A6D0F12"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0.66</w:t>
            </w:r>
          </w:p>
        </w:tc>
        <w:tc>
          <w:tcPr>
            <w:tcW w:w="1536" w:type="dxa"/>
            <w:tcBorders>
              <w:top w:val="nil"/>
              <w:left w:val="nil"/>
              <w:bottom w:val="nil"/>
              <w:right w:val="nil"/>
            </w:tcBorders>
            <w:shd w:val="clear" w:color="auto" w:fill="auto"/>
            <w:noWrap/>
            <w:vAlign w:val="center"/>
            <w:hideMark/>
          </w:tcPr>
          <w:p w14:paraId="51FB2CEB" w14:textId="76D56E07"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0.71</w:t>
            </w:r>
          </w:p>
        </w:tc>
      </w:tr>
      <w:tr w:rsidR="00BB1075" w:rsidRPr="00E21717" w14:paraId="6C1C62CE" w14:textId="77777777" w:rsidTr="00B86BE9">
        <w:trPr>
          <w:trHeight w:val="302"/>
        </w:trPr>
        <w:tc>
          <w:tcPr>
            <w:tcW w:w="3031" w:type="dxa"/>
            <w:tcBorders>
              <w:top w:val="nil"/>
              <w:left w:val="nil"/>
              <w:bottom w:val="nil"/>
              <w:right w:val="nil"/>
            </w:tcBorders>
            <w:shd w:val="clear" w:color="auto" w:fill="auto"/>
            <w:noWrap/>
            <w:vAlign w:val="center"/>
            <w:hideMark/>
          </w:tcPr>
          <w:p w14:paraId="434379F1" w14:textId="77777777" w:rsidR="00BB1075" w:rsidRPr="00E21717" w:rsidRDefault="00BB1075" w:rsidP="00B86BE9">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BNP Paribas</w:t>
            </w:r>
          </w:p>
        </w:tc>
        <w:tc>
          <w:tcPr>
            <w:tcW w:w="1879" w:type="dxa"/>
            <w:tcBorders>
              <w:top w:val="nil"/>
              <w:left w:val="nil"/>
              <w:bottom w:val="nil"/>
              <w:right w:val="nil"/>
            </w:tcBorders>
            <w:shd w:val="clear" w:color="auto" w:fill="auto"/>
            <w:noWrap/>
            <w:vAlign w:val="center"/>
            <w:hideMark/>
          </w:tcPr>
          <w:p w14:paraId="0EA9D82A" w14:textId="48F55A44"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1.51</w:t>
            </w:r>
          </w:p>
        </w:tc>
        <w:tc>
          <w:tcPr>
            <w:tcW w:w="2041" w:type="dxa"/>
            <w:tcBorders>
              <w:top w:val="nil"/>
              <w:left w:val="nil"/>
              <w:bottom w:val="nil"/>
              <w:right w:val="nil"/>
            </w:tcBorders>
            <w:shd w:val="clear" w:color="auto" w:fill="auto"/>
            <w:noWrap/>
            <w:vAlign w:val="center"/>
            <w:hideMark/>
          </w:tcPr>
          <w:p w14:paraId="24D66CEC" w14:textId="417F71F5"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0.71</w:t>
            </w:r>
          </w:p>
        </w:tc>
        <w:tc>
          <w:tcPr>
            <w:tcW w:w="1536" w:type="dxa"/>
            <w:tcBorders>
              <w:top w:val="nil"/>
              <w:left w:val="nil"/>
              <w:bottom w:val="nil"/>
              <w:right w:val="nil"/>
            </w:tcBorders>
            <w:shd w:val="clear" w:color="auto" w:fill="auto"/>
            <w:noWrap/>
            <w:vAlign w:val="center"/>
            <w:hideMark/>
          </w:tcPr>
          <w:p w14:paraId="511D4CE9" w14:textId="75A758C9"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0.74</w:t>
            </w:r>
          </w:p>
        </w:tc>
      </w:tr>
      <w:tr w:rsidR="00BB1075" w:rsidRPr="00E21717" w14:paraId="2272C21B" w14:textId="77777777" w:rsidTr="00B86BE9">
        <w:trPr>
          <w:trHeight w:val="302"/>
        </w:trPr>
        <w:tc>
          <w:tcPr>
            <w:tcW w:w="3031" w:type="dxa"/>
            <w:tcBorders>
              <w:top w:val="nil"/>
              <w:left w:val="nil"/>
              <w:bottom w:val="nil"/>
              <w:right w:val="nil"/>
            </w:tcBorders>
            <w:shd w:val="clear" w:color="auto" w:fill="auto"/>
            <w:noWrap/>
            <w:vAlign w:val="center"/>
            <w:hideMark/>
          </w:tcPr>
          <w:p w14:paraId="180762B6" w14:textId="77777777" w:rsidR="00BB1075" w:rsidRPr="00E21717" w:rsidRDefault="00BB1075" w:rsidP="00B86BE9">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Commerzbank </w:t>
            </w:r>
          </w:p>
        </w:tc>
        <w:tc>
          <w:tcPr>
            <w:tcW w:w="1879" w:type="dxa"/>
            <w:tcBorders>
              <w:top w:val="nil"/>
              <w:left w:val="nil"/>
              <w:bottom w:val="nil"/>
              <w:right w:val="nil"/>
            </w:tcBorders>
            <w:shd w:val="clear" w:color="auto" w:fill="auto"/>
            <w:noWrap/>
            <w:vAlign w:val="center"/>
            <w:hideMark/>
          </w:tcPr>
          <w:p w14:paraId="6E62ACEB" w14:textId="7239D956"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1.05</w:t>
            </w:r>
          </w:p>
        </w:tc>
        <w:tc>
          <w:tcPr>
            <w:tcW w:w="2041" w:type="dxa"/>
            <w:tcBorders>
              <w:top w:val="nil"/>
              <w:left w:val="nil"/>
              <w:bottom w:val="nil"/>
              <w:right w:val="nil"/>
            </w:tcBorders>
            <w:shd w:val="clear" w:color="auto" w:fill="auto"/>
            <w:noWrap/>
            <w:vAlign w:val="center"/>
            <w:hideMark/>
          </w:tcPr>
          <w:p w14:paraId="5A90942D" w14:textId="27F77111"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0.35</w:t>
            </w:r>
          </w:p>
        </w:tc>
        <w:tc>
          <w:tcPr>
            <w:tcW w:w="1536" w:type="dxa"/>
            <w:tcBorders>
              <w:top w:val="nil"/>
              <w:left w:val="nil"/>
              <w:bottom w:val="nil"/>
              <w:right w:val="nil"/>
            </w:tcBorders>
            <w:shd w:val="clear" w:color="auto" w:fill="auto"/>
            <w:noWrap/>
            <w:vAlign w:val="center"/>
            <w:hideMark/>
          </w:tcPr>
          <w:p w14:paraId="77917642" w14:textId="72994FC4"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0.51</w:t>
            </w:r>
          </w:p>
        </w:tc>
      </w:tr>
      <w:tr w:rsidR="00BB1075" w:rsidRPr="00E21717" w14:paraId="7655CD4A" w14:textId="77777777" w:rsidTr="00B86BE9">
        <w:trPr>
          <w:trHeight w:val="302"/>
        </w:trPr>
        <w:tc>
          <w:tcPr>
            <w:tcW w:w="3031" w:type="dxa"/>
            <w:tcBorders>
              <w:top w:val="nil"/>
              <w:left w:val="nil"/>
              <w:bottom w:val="nil"/>
              <w:right w:val="nil"/>
            </w:tcBorders>
            <w:shd w:val="clear" w:color="auto" w:fill="auto"/>
            <w:noWrap/>
            <w:vAlign w:val="center"/>
            <w:hideMark/>
          </w:tcPr>
          <w:p w14:paraId="278D50AA" w14:textId="77777777" w:rsidR="00BB1075" w:rsidRPr="00E21717" w:rsidRDefault="00BB1075" w:rsidP="00B86BE9">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Credit Suisse Group </w:t>
            </w:r>
          </w:p>
        </w:tc>
        <w:tc>
          <w:tcPr>
            <w:tcW w:w="1879" w:type="dxa"/>
            <w:tcBorders>
              <w:top w:val="nil"/>
              <w:left w:val="nil"/>
              <w:bottom w:val="nil"/>
              <w:right w:val="nil"/>
            </w:tcBorders>
            <w:shd w:val="clear" w:color="auto" w:fill="auto"/>
            <w:noWrap/>
            <w:vAlign w:val="center"/>
            <w:hideMark/>
          </w:tcPr>
          <w:p w14:paraId="735C4ED7" w14:textId="132EA953"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1.67</w:t>
            </w:r>
          </w:p>
        </w:tc>
        <w:tc>
          <w:tcPr>
            <w:tcW w:w="2041" w:type="dxa"/>
            <w:tcBorders>
              <w:top w:val="nil"/>
              <w:left w:val="nil"/>
              <w:bottom w:val="nil"/>
              <w:right w:val="nil"/>
            </w:tcBorders>
            <w:shd w:val="clear" w:color="auto" w:fill="auto"/>
            <w:noWrap/>
            <w:vAlign w:val="center"/>
            <w:hideMark/>
          </w:tcPr>
          <w:p w14:paraId="37497A14" w14:textId="16B21B4F"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1.07</w:t>
            </w:r>
          </w:p>
        </w:tc>
        <w:tc>
          <w:tcPr>
            <w:tcW w:w="1536" w:type="dxa"/>
            <w:tcBorders>
              <w:top w:val="nil"/>
              <w:left w:val="nil"/>
              <w:bottom w:val="nil"/>
              <w:right w:val="nil"/>
            </w:tcBorders>
            <w:shd w:val="clear" w:color="auto" w:fill="auto"/>
            <w:noWrap/>
            <w:vAlign w:val="center"/>
            <w:hideMark/>
          </w:tcPr>
          <w:p w14:paraId="18DD215E" w14:textId="5AA6BBA2"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0.98</w:t>
            </w:r>
          </w:p>
        </w:tc>
      </w:tr>
      <w:tr w:rsidR="00BB1075" w:rsidRPr="00E21717" w14:paraId="383BEA02" w14:textId="77777777" w:rsidTr="00B86BE9">
        <w:trPr>
          <w:trHeight w:val="302"/>
        </w:trPr>
        <w:tc>
          <w:tcPr>
            <w:tcW w:w="3031" w:type="dxa"/>
            <w:tcBorders>
              <w:top w:val="nil"/>
              <w:left w:val="nil"/>
              <w:bottom w:val="nil"/>
              <w:right w:val="nil"/>
            </w:tcBorders>
            <w:shd w:val="clear" w:color="auto" w:fill="auto"/>
            <w:noWrap/>
            <w:vAlign w:val="center"/>
            <w:hideMark/>
          </w:tcPr>
          <w:p w14:paraId="54B18E49" w14:textId="77777777" w:rsidR="00BB1075" w:rsidRPr="00E21717" w:rsidRDefault="00BB1075" w:rsidP="00B86BE9">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Danske</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3AAC70D8" w14:textId="48F72D9E"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1.66</w:t>
            </w:r>
          </w:p>
        </w:tc>
        <w:tc>
          <w:tcPr>
            <w:tcW w:w="2041" w:type="dxa"/>
            <w:tcBorders>
              <w:top w:val="nil"/>
              <w:left w:val="nil"/>
              <w:bottom w:val="nil"/>
              <w:right w:val="nil"/>
            </w:tcBorders>
            <w:shd w:val="clear" w:color="auto" w:fill="auto"/>
            <w:noWrap/>
            <w:vAlign w:val="center"/>
            <w:hideMark/>
          </w:tcPr>
          <w:p w14:paraId="0471DEA5" w14:textId="0FC95C49"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0.81</w:t>
            </w:r>
          </w:p>
        </w:tc>
        <w:tc>
          <w:tcPr>
            <w:tcW w:w="1536" w:type="dxa"/>
            <w:tcBorders>
              <w:top w:val="nil"/>
              <w:left w:val="nil"/>
              <w:bottom w:val="nil"/>
              <w:right w:val="nil"/>
            </w:tcBorders>
            <w:shd w:val="clear" w:color="auto" w:fill="auto"/>
            <w:noWrap/>
            <w:vAlign w:val="center"/>
            <w:hideMark/>
          </w:tcPr>
          <w:p w14:paraId="1F77210E" w14:textId="45E2B962"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0.98</w:t>
            </w:r>
          </w:p>
        </w:tc>
      </w:tr>
      <w:tr w:rsidR="00BB1075" w:rsidRPr="00E21717" w14:paraId="361F4D97" w14:textId="77777777" w:rsidTr="00B86BE9">
        <w:trPr>
          <w:trHeight w:val="302"/>
        </w:trPr>
        <w:tc>
          <w:tcPr>
            <w:tcW w:w="3031" w:type="dxa"/>
            <w:tcBorders>
              <w:top w:val="nil"/>
              <w:left w:val="nil"/>
              <w:bottom w:val="nil"/>
              <w:right w:val="nil"/>
            </w:tcBorders>
            <w:shd w:val="clear" w:color="auto" w:fill="auto"/>
            <w:noWrap/>
            <w:vAlign w:val="center"/>
            <w:hideMark/>
          </w:tcPr>
          <w:p w14:paraId="6D8D12FC" w14:textId="77777777" w:rsidR="00BB1075" w:rsidRPr="00E21717" w:rsidRDefault="00BB1075" w:rsidP="00B86BE9">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Deutsche Bank </w:t>
            </w:r>
          </w:p>
        </w:tc>
        <w:tc>
          <w:tcPr>
            <w:tcW w:w="1879" w:type="dxa"/>
            <w:tcBorders>
              <w:top w:val="nil"/>
              <w:left w:val="nil"/>
              <w:bottom w:val="nil"/>
              <w:right w:val="nil"/>
            </w:tcBorders>
            <w:shd w:val="clear" w:color="auto" w:fill="auto"/>
            <w:noWrap/>
            <w:vAlign w:val="center"/>
            <w:hideMark/>
          </w:tcPr>
          <w:p w14:paraId="581E3998" w14:textId="3A3520CD"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1.22</w:t>
            </w:r>
          </w:p>
        </w:tc>
        <w:tc>
          <w:tcPr>
            <w:tcW w:w="2041" w:type="dxa"/>
            <w:tcBorders>
              <w:top w:val="nil"/>
              <w:left w:val="nil"/>
              <w:bottom w:val="nil"/>
              <w:right w:val="nil"/>
            </w:tcBorders>
            <w:shd w:val="clear" w:color="auto" w:fill="auto"/>
            <w:noWrap/>
            <w:vAlign w:val="center"/>
            <w:hideMark/>
          </w:tcPr>
          <w:p w14:paraId="1A94535D" w14:textId="27DDD15A"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0.62</w:t>
            </w:r>
          </w:p>
        </w:tc>
        <w:tc>
          <w:tcPr>
            <w:tcW w:w="1536" w:type="dxa"/>
            <w:tcBorders>
              <w:top w:val="nil"/>
              <w:left w:val="nil"/>
              <w:bottom w:val="nil"/>
              <w:right w:val="nil"/>
            </w:tcBorders>
            <w:shd w:val="clear" w:color="auto" w:fill="auto"/>
            <w:noWrap/>
            <w:vAlign w:val="center"/>
            <w:hideMark/>
          </w:tcPr>
          <w:p w14:paraId="474ED3C7" w14:textId="553A6DA2"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0.55</w:t>
            </w:r>
          </w:p>
        </w:tc>
      </w:tr>
      <w:tr w:rsidR="00BB1075" w:rsidRPr="00E21717" w14:paraId="2EF58C68" w14:textId="77777777" w:rsidTr="00B86BE9">
        <w:trPr>
          <w:trHeight w:val="302"/>
        </w:trPr>
        <w:tc>
          <w:tcPr>
            <w:tcW w:w="3031" w:type="dxa"/>
            <w:tcBorders>
              <w:top w:val="nil"/>
              <w:left w:val="nil"/>
              <w:bottom w:val="nil"/>
              <w:right w:val="nil"/>
            </w:tcBorders>
            <w:shd w:val="clear" w:color="auto" w:fill="auto"/>
            <w:noWrap/>
            <w:vAlign w:val="center"/>
            <w:hideMark/>
          </w:tcPr>
          <w:p w14:paraId="69F05A97" w14:textId="77777777" w:rsidR="00BB1075" w:rsidRPr="00E21717" w:rsidRDefault="00BB1075" w:rsidP="00B86BE9">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HSBC Holdings</w:t>
            </w:r>
          </w:p>
        </w:tc>
        <w:tc>
          <w:tcPr>
            <w:tcW w:w="1879" w:type="dxa"/>
            <w:tcBorders>
              <w:top w:val="nil"/>
              <w:left w:val="nil"/>
              <w:bottom w:val="nil"/>
              <w:right w:val="nil"/>
            </w:tcBorders>
            <w:shd w:val="clear" w:color="auto" w:fill="auto"/>
            <w:noWrap/>
            <w:vAlign w:val="center"/>
            <w:hideMark/>
          </w:tcPr>
          <w:p w14:paraId="44D050A9" w14:textId="3BA772FD"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1.98</w:t>
            </w:r>
          </w:p>
        </w:tc>
        <w:tc>
          <w:tcPr>
            <w:tcW w:w="2041" w:type="dxa"/>
            <w:tcBorders>
              <w:top w:val="nil"/>
              <w:left w:val="nil"/>
              <w:bottom w:val="nil"/>
              <w:right w:val="nil"/>
            </w:tcBorders>
            <w:shd w:val="clear" w:color="auto" w:fill="auto"/>
            <w:noWrap/>
            <w:vAlign w:val="center"/>
            <w:hideMark/>
          </w:tcPr>
          <w:p w14:paraId="06B33C43" w14:textId="5A4BE331"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1.14</w:t>
            </w:r>
          </w:p>
        </w:tc>
        <w:tc>
          <w:tcPr>
            <w:tcW w:w="1536" w:type="dxa"/>
            <w:tcBorders>
              <w:top w:val="nil"/>
              <w:left w:val="nil"/>
              <w:bottom w:val="nil"/>
              <w:right w:val="nil"/>
            </w:tcBorders>
            <w:shd w:val="clear" w:color="auto" w:fill="auto"/>
            <w:noWrap/>
            <w:vAlign w:val="center"/>
            <w:hideMark/>
          </w:tcPr>
          <w:p w14:paraId="251B9A27" w14:textId="5B970324"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1.07</w:t>
            </w:r>
          </w:p>
        </w:tc>
      </w:tr>
      <w:tr w:rsidR="00BB1075" w:rsidRPr="00E21717" w14:paraId="20BDEF54" w14:textId="77777777" w:rsidTr="00B86BE9">
        <w:trPr>
          <w:trHeight w:val="302"/>
        </w:trPr>
        <w:tc>
          <w:tcPr>
            <w:tcW w:w="3031" w:type="dxa"/>
            <w:tcBorders>
              <w:top w:val="nil"/>
              <w:left w:val="nil"/>
              <w:bottom w:val="nil"/>
              <w:right w:val="nil"/>
            </w:tcBorders>
            <w:shd w:val="clear" w:color="auto" w:fill="auto"/>
            <w:noWrap/>
            <w:vAlign w:val="center"/>
            <w:hideMark/>
          </w:tcPr>
          <w:p w14:paraId="1D183B23" w14:textId="77777777" w:rsidR="00BB1075" w:rsidRPr="00E21717" w:rsidRDefault="00BB1075" w:rsidP="00B86BE9">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ING Bank N.V. </w:t>
            </w:r>
          </w:p>
        </w:tc>
        <w:tc>
          <w:tcPr>
            <w:tcW w:w="1879" w:type="dxa"/>
            <w:tcBorders>
              <w:top w:val="nil"/>
              <w:left w:val="nil"/>
              <w:bottom w:val="nil"/>
              <w:right w:val="nil"/>
            </w:tcBorders>
            <w:shd w:val="clear" w:color="auto" w:fill="auto"/>
            <w:noWrap/>
            <w:vAlign w:val="center"/>
            <w:hideMark/>
          </w:tcPr>
          <w:p w14:paraId="45A180E3" w14:textId="21F325E2" w:rsidR="00BB1075" w:rsidRPr="00371459" w:rsidRDefault="00BB1075" w:rsidP="00B86BE9">
            <w:pPr>
              <w:jc w:val="center"/>
              <w:rPr>
                <w:rFonts w:ascii="dcr10" w:eastAsia="Times New Roman" w:hAnsi="dcr10" w:cs="Times New Roman"/>
                <w:color w:val="000000"/>
                <w:sz w:val="18"/>
                <w:szCs w:val="18"/>
              </w:rPr>
            </w:pPr>
          </w:p>
        </w:tc>
        <w:tc>
          <w:tcPr>
            <w:tcW w:w="2041" w:type="dxa"/>
            <w:tcBorders>
              <w:top w:val="nil"/>
              <w:left w:val="nil"/>
              <w:bottom w:val="nil"/>
              <w:right w:val="nil"/>
            </w:tcBorders>
            <w:shd w:val="clear" w:color="auto" w:fill="auto"/>
            <w:noWrap/>
            <w:vAlign w:val="center"/>
            <w:hideMark/>
          </w:tcPr>
          <w:p w14:paraId="5FDA4FC4" w14:textId="2C57BE4C" w:rsidR="00BB1075" w:rsidRPr="00371459" w:rsidRDefault="00BB1075" w:rsidP="00B86BE9">
            <w:pPr>
              <w:jc w:val="center"/>
              <w:rPr>
                <w:rFonts w:ascii="dcr10" w:eastAsia="Times New Roman" w:hAnsi="dcr10" w:cs="Times New Roman"/>
                <w:color w:val="000000"/>
                <w:sz w:val="18"/>
                <w:szCs w:val="18"/>
              </w:rPr>
            </w:pPr>
          </w:p>
        </w:tc>
        <w:tc>
          <w:tcPr>
            <w:tcW w:w="1536" w:type="dxa"/>
            <w:tcBorders>
              <w:top w:val="nil"/>
              <w:left w:val="nil"/>
              <w:bottom w:val="nil"/>
              <w:right w:val="nil"/>
            </w:tcBorders>
            <w:shd w:val="clear" w:color="auto" w:fill="auto"/>
            <w:noWrap/>
            <w:vAlign w:val="center"/>
            <w:hideMark/>
          </w:tcPr>
          <w:p w14:paraId="55330119" w14:textId="4B607589" w:rsidR="00BB1075" w:rsidRPr="00371459" w:rsidRDefault="00BB1075" w:rsidP="00B86BE9">
            <w:pPr>
              <w:jc w:val="center"/>
              <w:rPr>
                <w:rFonts w:ascii="dcr10" w:eastAsia="Times New Roman" w:hAnsi="dcr10" w:cs="Times New Roman"/>
                <w:color w:val="000000"/>
                <w:sz w:val="18"/>
                <w:szCs w:val="18"/>
              </w:rPr>
            </w:pPr>
          </w:p>
        </w:tc>
      </w:tr>
      <w:tr w:rsidR="00BB1075" w:rsidRPr="00E21717" w14:paraId="5D12F0B9" w14:textId="77777777" w:rsidTr="00B86BE9">
        <w:trPr>
          <w:trHeight w:val="302"/>
        </w:trPr>
        <w:tc>
          <w:tcPr>
            <w:tcW w:w="3031" w:type="dxa"/>
            <w:tcBorders>
              <w:top w:val="nil"/>
              <w:left w:val="nil"/>
              <w:bottom w:val="nil"/>
              <w:right w:val="nil"/>
            </w:tcBorders>
            <w:shd w:val="clear" w:color="auto" w:fill="auto"/>
            <w:noWrap/>
            <w:vAlign w:val="center"/>
            <w:hideMark/>
          </w:tcPr>
          <w:p w14:paraId="31933BCA" w14:textId="77777777" w:rsidR="00BB1075" w:rsidRPr="00E21717" w:rsidRDefault="00BB1075" w:rsidP="00B86BE9">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Intesa</w:t>
            </w:r>
            <w:proofErr w:type="spellEnd"/>
            <w:r w:rsidRPr="00E21717">
              <w:rPr>
                <w:rFonts w:ascii="dcr10" w:eastAsia="Times New Roman" w:hAnsi="dcr10" w:cs="Times New Roman"/>
                <w:color w:val="000000"/>
                <w:sz w:val="18"/>
                <w:szCs w:val="18"/>
              </w:rPr>
              <w:t xml:space="preserve"> </w:t>
            </w:r>
            <w:proofErr w:type="spellStart"/>
            <w:r w:rsidRPr="00E21717">
              <w:rPr>
                <w:rFonts w:ascii="dcr10" w:eastAsia="Times New Roman" w:hAnsi="dcr10" w:cs="Times New Roman"/>
                <w:color w:val="000000"/>
                <w:sz w:val="18"/>
                <w:szCs w:val="18"/>
              </w:rPr>
              <w:t>Sanpaolo</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786978CA" w14:textId="2DE8CA1B"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1.50</w:t>
            </w:r>
          </w:p>
        </w:tc>
        <w:tc>
          <w:tcPr>
            <w:tcW w:w="2041" w:type="dxa"/>
            <w:tcBorders>
              <w:top w:val="nil"/>
              <w:left w:val="nil"/>
              <w:bottom w:val="nil"/>
              <w:right w:val="nil"/>
            </w:tcBorders>
            <w:shd w:val="clear" w:color="auto" w:fill="auto"/>
            <w:noWrap/>
            <w:vAlign w:val="center"/>
            <w:hideMark/>
          </w:tcPr>
          <w:p w14:paraId="014BD75F" w14:textId="6202940A"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0.55</w:t>
            </w:r>
          </w:p>
        </w:tc>
        <w:tc>
          <w:tcPr>
            <w:tcW w:w="1536" w:type="dxa"/>
            <w:tcBorders>
              <w:top w:val="nil"/>
              <w:left w:val="nil"/>
              <w:bottom w:val="nil"/>
              <w:right w:val="nil"/>
            </w:tcBorders>
            <w:shd w:val="clear" w:color="auto" w:fill="auto"/>
            <w:noWrap/>
            <w:vAlign w:val="center"/>
            <w:hideMark/>
          </w:tcPr>
          <w:p w14:paraId="5591FFE6" w14:textId="1D4E0F3F"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0.84</w:t>
            </w:r>
          </w:p>
        </w:tc>
      </w:tr>
      <w:tr w:rsidR="00BB1075" w:rsidRPr="00E21717" w14:paraId="4F964B8C" w14:textId="77777777" w:rsidTr="00B86BE9">
        <w:trPr>
          <w:trHeight w:val="302"/>
        </w:trPr>
        <w:tc>
          <w:tcPr>
            <w:tcW w:w="3031" w:type="dxa"/>
            <w:tcBorders>
              <w:top w:val="nil"/>
              <w:left w:val="nil"/>
              <w:bottom w:val="nil"/>
              <w:right w:val="nil"/>
            </w:tcBorders>
            <w:shd w:val="clear" w:color="auto" w:fill="auto"/>
            <w:noWrap/>
            <w:vAlign w:val="center"/>
            <w:hideMark/>
          </w:tcPr>
          <w:p w14:paraId="3AA9CA2A" w14:textId="77777777" w:rsidR="00BB1075" w:rsidRPr="00E21717" w:rsidRDefault="00BB1075" w:rsidP="00B86BE9">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Lloyds Banking Group </w:t>
            </w:r>
          </w:p>
        </w:tc>
        <w:tc>
          <w:tcPr>
            <w:tcW w:w="1879" w:type="dxa"/>
            <w:tcBorders>
              <w:top w:val="nil"/>
              <w:left w:val="nil"/>
              <w:bottom w:val="nil"/>
              <w:right w:val="nil"/>
            </w:tcBorders>
            <w:shd w:val="clear" w:color="auto" w:fill="auto"/>
            <w:noWrap/>
            <w:vAlign w:val="center"/>
            <w:hideMark/>
          </w:tcPr>
          <w:p w14:paraId="1EBD88BF" w14:textId="0F4C92B5"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2.82</w:t>
            </w:r>
          </w:p>
        </w:tc>
        <w:tc>
          <w:tcPr>
            <w:tcW w:w="2041" w:type="dxa"/>
            <w:tcBorders>
              <w:top w:val="nil"/>
              <w:left w:val="nil"/>
              <w:bottom w:val="nil"/>
              <w:right w:val="nil"/>
            </w:tcBorders>
            <w:shd w:val="clear" w:color="auto" w:fill="auto"/>
            <w:noWrap/>
            <w:vAlign w:val="center"/>
            <w:hideMark/>
          </w:tcPr>
          <w:p w14:paraId="6833D8E8" w14:textId="5AD21A3A"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0.91</w:t>
            </w:r>
          </w:p>
        </w:tc>
        <w:tc>
          <w:tcPr>
            <w:tcW w:w="1536" w:type="dxa"/>
            <w:tcBorders>
              <w:top w:val="nil"/>
              <w:left w:val="nil"/>
              <w:bottom w:val="nil"/>
              <w:right w:val="nil"/>
            </w:tcBorders>
            <w:shd w:val="clear" w:color="auto" w:fill="auto"/>
            <w:noWrap/>
            <w:vAlign w:val="center"/>
            <w:hideMark/>
          </w:tcPr>
          <w:p w14:paraId="28152E19" w14:textId="148F0646"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1.24</w:t>
            </w:r>
          </w:p>
        </w:tc>
      </w:tr>
      <w:tr w:rsidR="00BB1075" w:rsidRPr="00E21717" w14:paraId="43E692B3" w14:textId="77777777" w:rsidTr="00B86BE9">
        <w:trPr>
          <w:trHeight w:val="302"/>
        </w:trPr>
        <w:tc>
          <w:tcPr>
            <w:tcW w:w="3031" w:type="dxa"/>
            <w:tcBorders>
              <w:top w:val="nil"/>
              <w:left w:val="nil"/>
              <w:bottom w:val="nil"/>
              <w:right w:val="nil"/>
            </w:tcBorders>
            <w:shd w:val="clear" w:color="auto" w:fill="auto"/>
            <w:noWrap/>
            <w:vAlign w:val="center"/>
            <w:hideMark/>
          </w:tcPr>
          <w:p w14:paraId="53DD2B3A" w14:textId="77777777" w:rsidR="00BB1075" w:rsidRPr="00E21717" w:rsidRDefault="00BB1075" w:rsidP="00B86BE9">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Mitsubishi Financial Group </w:t>
            </w:r>
          </w:p>
        </w:tc>
        <w:tc>
          <w:tcPr>
            <w:tcW w:w="1879" w:type="dxa"/>
            <w:tcBorders>
              <w:top w:val="nil"/>
              <w:left w:val="nil"/>
              <w:bottom w:val="nil"/>
              <w:right w:val="nil"/>
            </w:tcBorders>
            <w:shd w:val="clear" w:color="auto" w:fill="auto"/>
            <w:noWrap/>
            <w:vAlign w:val="center"/>
            <w:hideMark/>
          </w:tcPr>
          <w:p w14:paraId="66D02317" w14:textId="5AFBAFC7"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1.68</w:t>
            </w:r>
          </w:p>
        </w:tc>
        <w:tc>
          <w:tcPr>
            <w:tcW w:w="2041" w:type="dxa"/>
            <w:tcBorders>
              <w:top w:val="nil"/>
              <w:left w:val="nil"/>
              <w:bottom w:val="nil"/>
              <w:right w:val="nil"/>
            </w:tcBorders>
            <w:shd w:val="clear" w:color="auto" w:fill="auto"/>
            <w:noWrap/>
            <w:vAlign w:val="center"/>
            <w:hideMark/>
          </w:tcPr>
          <w:p w14:paraId="59DF0D15" w14:textId="7908ACE5"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0.66</w:t>
            </w:r>
          </w:p>
        </w:tc>
        <w:tc>
          <w:tcPr>
            <w:tcW w:w="1536" w:type="dxa"/>
            <w:tcBorders>
              <w:top w:val="nil"/>
              <w:left w:val="nil"/>
              <w:bottom w:val="nil"/>
              <w:right w:val="nil"/>
            </w:tcBorders>
            <w:shd w:val="clear" w:color="auto" w:fill="auto"/>
            <w:noWrap/>
            <w:vAlign w:val="center"/>
            <w:hideMark/>
          </w:tcPr>
          <w:p w14:paraId="5D05D5C3" w14:textId="19561D61"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0.68</w:t>
            </w:r>
          </w:p>
        </w:tc>
      </w:tr>
      <w:tr w:rsidR="00BB1075" w:rsidRPr="00E21717" w14:paraId="4893723F" w14:textId="77777777" w:rsidTr="00B86BE9">
        <w:trPr>
          <w:trHeight w:val="302"/>
        </w:trPr>
        <w:tc>
          <w:tcPr>
            <w:tcW w:w="3031" w:type="dxa"/>
            <w:tcBorders>
              <w:top w:val="nil"/>
              <w:left w:val="nil"/>
              <w:bottom w:val="nil"/>
              <w:right w:val="nil"/>
            </w:tcBorders>
            <w:shd w:val="clear" w:color="auto" w:fill="auto"/>
            <w:noWrap/>
            <w:vAlign w:val="center"/>
            <w:hideMark/>
          </w:tcPr>
          <w:p w14:paraId="7F96B657" w14:textId="77777777" w:rsidR="00BB1075" w:rsidRPr="00E21717" w:rsidRDefault="00BB1075" w:rsidP="00B86BE9">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Mizuho Financial Group </w:t>
            </w:r>
          </w:p>
        </w:tc>
        <w:tc>
          <w:tcPr>
            <w:tcW w:w="1879" w:type="dxa"/>
            <w:tcBorders>
              <w:top w:val="nil"/>
              <w:left w:val="nil"/>
              <w:bottom w:val="nil"/>
              <w:right w:val="nil"/>
            </w:tcBorders>
            <w:shd w:val="clear" w:color="auto" w:fill="auto"/>
            <w:noWrap/>
            <w:vAlign w:val="center"/>
            <w:hideMark/>
          </w:tcPr>
          <w:p w14:paraId="53DE153A" w14:textId="203A4968"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1.79</w:t>
            </w:r>
          </w:p>
        </w:tc>
        <w:tc>
          <w:tcPr>
            <w:tcW w:w="2041" w:type="dxa"/>
            <w:tcBorders>
              <w:top w:val="nil"/>
              <w:left w:val="nil"/>
              <w:bottom w:val="nil"/>
              <w:right w:val="nil"/>
            </w:tcBorders>
            <w:shd w:val="clear" w:color="auto" w:fill="auto"/>
            <w:noWrap/>
            <w:vAlign w:val="center"/>
            <w:hideMark/>
          </w:tcPr>
          <w:p w14:paraId="09E12206" w14:textId="45599F36"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0.72</w:t>
            </w:r>
          </w:p>
        </w:tc>
        <w:tc>
          <w:tcPr>
            <w:tcW w:w="1536" w:type="dxa"/>
            <w:tcBorders>
              <w:top w:val="nil"/>
              <w:left w:val="nil"/>
              <w:bottom w:val="nil"/>
              <w:right w:val="nil"/>
            </w:tcBorders>
            <w:shd w:val="clear" w:color="auto" w:fill="auto"/>
            <w:noWrap/>
            <w:vAlign w:val="center"/>
            <w:hideMark/>
          </w:tcPr>
          <w:p w14:paraId="1CE2EC64" w14:textId="1AF4E3E7"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0.71</w:t>
            </w:r>
          </w:p>
        </w:tc>
      </w:tr>
      <w:tr w:rsidR="00BB1075" w:rsidRPr="00E21717" w14:paraId="376084AC" w14:textId="77777777" w:rsidTr="00B86BE9">
        <w:trPr>
          <w:trHeight w:val="302"/>
        </w:trPr>
        <w:tc>
          <w:tcPr>
            <w:tcW w:w="3031" w:type="dxa"/>
            <w:tcBorders>
              <w:top w:val="nil"/>
              <w:left w:val="nil"/>
              <w:bottom w:val="nil"/>
              <w:right w:val="nil"/>
            </w:tcBorders>
            <w:shd w:val="clear" w:color="auto" w:fill="auto"/>
            <w:noWrap/>
            <w:vAlign w:val="center"/>
            <w:hideMark/>
          </w:tcPr>
          <w:p w14:paraId="5B92C462" w14:textId="77777777" w:rsidR="00BB1075" w:rsidRPr="00E21717" w:rsidRDefault="00BB1075" w:rsidP="00B86BE9">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Natixis</w:t>
            </w:r>
            <w:proofErr w:type="spellEnd"/>
          </w:p>
        </w:tc>
        <w:tc>
          <w:tcPr>
            <w:tcW w:w="1879" w:type="dxa"/>
            <w:tcBorders>
              <w:top w:val="nil"/>
              <w:left w:val="nil"/>
              <w:bottom w:val="nil"/>
              <w:right w:val="nil"/>
            </w:tcBorders>
            <w:shd w:val="clear" w:color="auto" w:fill="auto"/>
            <w:noWrap/>
            <w:vAlign w:val="center"/>
            <w:hideMark/>
          </w:tcPr>
          <w:p w14:paraId="2884DA37" w14:textId="73BECCF0"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1.14</w:t>
            </w:r>
          </w:p>
        </w:tc>
        <w:tc>
          <w:tcPr>
            <w:tcW w:w="2041" w:type="dxa"/>
            <w:tcBorders>
              <w:top w:val="nil"/>
              <w:left w:val="nil"/>
              <w:bottom w:val="nil"/>
              <w:right w:val="nil"/>
            </w:tcBorders>
            <w:shd w:val="clear" w:color="auto" w:fill="auto"/>
            <w:noWrap/>
            <w:vAlign w:val="center"/>
            <w:hideMark/>
          </w:tcPr>
          <w:p w14:paraId="0BB43811" w14:textId="4E4906C4"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0.56</w:t>
            </w:r>
          </w:p>
        </w:tc>
        <w:tc>
          <w:tcPr>
            <w:tcW w:w="1536" w:type="dxa"/>
            <w:tcBorders>
              <w:top w:val="nil"/>
              <w:left w:val="nil"/>
              <w:bottom w:val="nil"/>
              <w:right w:val="nil"/>
            </w:tcBorders>
            <w:shd w:val="clear" w:color="auto" w:fill="auto"/>
            <w:noWrap/>
            <w:vAlign w:val="center"/>
            <w:hideMark/>
          </w:tcPr>
          <w:p w14:paraId="1BD78D9D" w14:textId="57E151D0"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0.87</w:t>
            </w:r>
          </w:p>
        </w:tc>
      </w:tr>
      <w:tr w:rsidR="00BB1075" w:rsidRPr="00E21717" w14:paraId="7FFEF2DA" w14:textId="77777777" w:rsidTr="00B86BE9">
        <w:trPr>
          <w:trHeight w:val="282"/>
        </w:trPr>
        <w:tc>
          <w:tcPr>
            <w:tcW w:w="3031" w:type="dxa"/>
            <w:tcBorders>
              <w:top w:val="nil"/>
              <w:left w:val="nil"/>
              <w:bottom w:val="nil"/>
              <w:right w:val="nil"/>
            </w:tcBorders>
            <w:shd w:val="clear" w:color="auto" w:fill="auto"/>
            <w:noWrap/>
            <w:vAlign w:val="center"/>
            <w:hideMark/>
          </w:tcPr>
          <w:p w14:paraId="0CCE7CA6" w14:textId="77777777" w:rsidR="00BB1075" w:rsidRPr="00E21717" w:rsidRDefault="00BB1075" w:rsidP="00B86BE9">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National Australia Bank </w:t>
            </w:r>
          </w:p>
        </w:tc>
        <w:tc>
          <w:tcPr>
            <w:tcW w:w="1879" w:type="dxa"/>
            <w:tcBorders>
              <w:top w:val="nil"/>
              <w:left w:val="nil"/>
              <w:bottom w:val="nil"/>
              <w:right w:val="nil"/>
            </w:tcBorders>
            <w:shd w:val="clear" w:color="auto" w:fill="auto"/>
            <w:noWrap/>
            <w:vAlign w:val="center"/>
            <w:hideMark/>
          </w:tcPr>
          <w:p w14:paraId="6890AEB0" w14:textId="3255B0F0"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2.13</w:t>
            </w:r>
          </w:p>
        </w:tc>
        <w:tc>
          <w:tcPr>
            <w:tcW w:w="2041" w:type="dxa"/>
            <w:tcBorders>
              <w:top w:val="nil"/>
              <w:left w:val="nil"/>
              <w:bottom w:val="nil"/>
              <w:right w:val="nil"/>
            </w:tcBorders>
            <w:shd w:val="clear" w:color="auto" w:fill="auto"/>
            <w:noWrap/>
            <w:vAlign w:val="center"/>
            <w:hideMark/>
          </w:tcPr>
          <w:p w14:paraId="118A9398" w14:textId="1BC0DE97"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1.51</w:t>
            </w:r>
          </w:p>
        </w:tc>
        <w:tc>
          <w:tcPr>
            <w:tcW w:w="1536" w:type="dxa"/>
            <w:tcBorders>
              <w:top w:val="nil"/>
              <w:left w:val="nil"/>
              <w:bottom w:val="nil"/>
              <w:right w:val="nil"/>
            </w:tcBorders>
            <w:shd w:val="clear" w:color="auto" w:fill="auto"/>
            <w:noWrap/>
            <w:vAlign w:val="center"/>
            <w:hideMark/>
          </w:tcPr>
          <w:p w14:paraId="0C4CF927" w14:textId="4E452048"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1.70</w:t>
            </w:r>
          </w:p>
        </w:tc>
      </w:tr>
      <w:tr w:rsidR="00BB1075" w:rsidRPr="00E21717" w14:paraId="616DAD6B" w14:textId="77777777" w:rsidTr="00B86BE9">
        <w:trPr>
          <w:trHeight w:val="302"/>
        </w:trPr>
        <w:tc>
          <w:tcPr>
            <w:tcW w:w="3031" w:type="dxa"/>
            <w:tcBorders>
              <w:top w:val="nil"/>
              <w:left w:val="nil"/>
              <w:bottom w:val="nil"/>
              <w:right w:val="nil"/>
            </w:tcBorders>
            <w:shd w:val="clear" w:color="auto" w:fill="auto"/>
            <w:noWrap/>
            <w:vAlign w:val="center"/>
            <w:hideMark/>
          </w:tcPr>
          <w:p w14:paraId="72B7A368" w14:textId="77777777" w:rsidR="00BB1075" w:rsidRPr="00E21717" w:rsidRDefault="00BB1075" w:rsidP="00B86BE9">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Nordea</w:t>
            </w:r>
            <w:proofErr w:type="spellEnd"/>
            <w:r w:rsidRPr="00E21717">
              <w:rPr>
                <w:rFonts w:ascii="dcr10" w:eastAsia="Times New Roman" w:hAnsi="dcr10" w:cs="Times New Roman"/>
                <w:color w:val="000000"/>
                <w:sz w:val="18"/>
                <w:szCs w:val="18"/>
              </w:rPr>
              <w:t xml:space="preserve"> Bank </w:t>
            </w:r>
          </w:p>
        </w:tc>
        <w:tc>
          <w:tcPr>
            <w:tcW w:w="1879" w:type="dxa"/>
            <w:tcBorders>
              <w:top w:val="nil"/>
              <w:left w:val="nil"/>
              <w:bottom w:val="nil"/>
              <w:right w:val="nil"/>
            </w:tcBorders>
            <w:shd w:val="clear" w:color="auto" w:fill="auto"/>
            <w:noWrap/>
            <w:vAlign w:val="center"/>
            <w:hideMark/>
          </w:tcPr>
          <w:p w14:paraId="0A04C3B2" w14:textId="51800CCD"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1.57</w:t>
            </w:r>
          </w:p>
        </w:tc>
        <w:tc>
          <w:tcPr>
            <w:tcW w:w="2041" w:type="dxa"/>
            <w:tcBorders>
              <w:top w:val="nil"/>
              <w:left w:val="nil"/>
              <w:bottom w:val="nil"/>
              <w:right w:val="nil"/>
            </w:tcBorders>
            <w:shd w:val="clear" w:color="auto" w:fill="auto"/>
            <w:noWrap/>
            <w:vAlign w:val="center"/>
            <w:hideMark/>
          </w:tcPr>
          <w:p w14:paraId="73D44154" w14:textId="05D53F64"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1.24</w:t>
            </w:r>
          </w:p>
        </w:tc>
        <w:tc>
          <w:tcPr>
            <w:tcW w:w="1536" w:type="dxa"/>
            <w:tcBorders>
              <w:top w:val="nil"/>
              <w:left w:val="nil"/>
              <w:bottom w:val="nil"/>
              <w:right w:val="nil"/>
            </w:tcBorders>
            <w:shd w:val="clear" w:color="auto" w:fill="auto"/>
            <w:noWrap/>
            <w:vAlign w:val="center"/>
            <w:hideMark/>
          </w:tcPr>
          <w:p w14:paraId="30DB202A" w14:textId="545F8299"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1.38</w:t>
            </w:r>
          </w:p>
        </w:tc>
      </w:tr>
      <w:tr w:rsidR="00BB1075" w:rsidRPr="00E21717" w14:paraId="1E7D32B7" w14:textId="77777777" w:rsidTr="00B86BE9">
        <w:trPr>
          <w:trHeight w:val="302"/>
        </w:trPr>
        <w:tc>
          <w:tcPr>
            <w:tcW w:w="3031" w:type="dxa"/>
            <w:tcBorders>
              <w:top w:val="nil"/>
              <w:left w:val="nil"/>
              <w:bottom w:val="nil"/>
              <w:right w:val="nil"/>
            </w:tcBorders>
            <w:shd w:val="clear" w:color="auto" w:fill="auto"/>
            <w:noWrap/>
            <w:vAlign w:val="center"/>
            <w:hideMark/>
          </w:tcPr>
          <w:p w14:paraId="47A2CA9F" w14:textId="77777777" w:rsidR="00BB1075" w:rsidRPr="00E21717" w:rsidRDefault="00BB1075" w:rsidP="00B86BE9">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Bank of Nova Scotia</w:t>
            </w:r>
          </w:p>
        </w:tc>
        <w:tc>
          <w:tcPr>
            <w:tcW w:w="1879" w:type="dxa"/>
            <w:tcBorders>
              <w:top w:val="nil"/>
              <w:left w:val="nil"/>
              <w:bottom w:val="nil"/>
              <w:right w:val="nil"/>
            </w:tcBorders>
            <w:shd w:val="clear" w:color="auto" w:fill="auto"/>
            <w:noWrap/>
            <w:vAlign w:val="center"/>
            <w:hideMark/>
          </w:tcPr>
          <w:p w14:paraId="4B440D0E" w14:textId="6F6DDD28"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2.53</w:t>
            </w:r>
          </w:p>
        </w:tc>
        <w:tc>
          <w:tcPr>
            <w:tcW w:w="2041" w:type="dxa"/>
            <w:tcBorders>
              <w:top w:val="nil"/>
              <w:left w:val="nil"/>
              <w:bottom w:val="nil"/>
              <w:right w:val="nil"/>
            </w:tcBorders>
            <w:shd w:val="clear" w:color="auto" w:fill="auto"/>
            <w:noWrap/>
            <w:vAlign w:val="center"/>
            <w:hideMark/>
          </w:tcPr>
          <w:p w14:paraId="0CB59D05" w14:textId="15455917"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2.08</w:t>
            </w:r>
          </w:p>
        </w:tc>
        <w:tc>
          <w:tcPr>
            <w:tcW w:w="1536" w:type="dxa"/>
            <w:tcBorders>
              <w:top w:val="nil"/>
              <w:left w:val="nil"/>
              <w:bottom w:val="nil"/>
              <w:right w:val="nil"/>
            </w:tcBorders>
            <w:shd w:val="clear" w:color="auto" w:fill="auto"/>
            <w:noWrap/>
            <w:vAlign w:val="center"/>
            <w:hideMark/>
          </w:tcPr>
          <w:p w14:paraId="2E556E82" w14:textId="076C5499"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1.90</w:t>
            </w:r>
          </w:p>
        </w:tc>
      </w:tr>
      <w:tr w:rsidR="00BB1075" w:rsidRPr="00E21717" w14:paraId="0735FF27" w14:textId="77777777" w:rsidTr="00B86BE9">
        <w:trPr>
          <w:trHeight w:val="302"/>
        </w:trPr>
        <w:tc>
          <w:tcPr>
            <w:tcW w:w="3031" w:type="dxa"/>
            <w:tcBorders>
              <w:top w:val="nil"/>
              <w:left w:val="nil"/>
              <w:bottom w:val="nil"/>
              <w:right w:val="nil"/>
            </w:tcBorders>
            <w:shd w:val="clear" w:color="auto" w:fill="auto"/>
            <w:noWrap/>
            <w:vAlign w:val="center"/>
            <w:hideMark/>
          </w:tcPr>
          <w:p w14:paraId="440F66E1" w14:textId="77777777" w:rsidR="00BB1075" w:rsidRPr="00E21717" w:rsidRDefault="00BB1075" w:rsidP="00B86BE9">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 xml:space="preserve">Royal Bank of Canada </w:t>
            </w:r>
          </w:p>
        </w:tc>
        <w:tc>
          <w:tcPr>
            <w:tcW w:w="1879" w:type="dxa"/>
            <w:tcBorders>
              <w:top w:val="nil"/>
              <w:left w:val="nil"/>
              <w:bottom w:val="nil"/>
              <w:right w:val="nil"/>
            </w:tcBorders>
            <w:shd w:val="clear" w:color="auto" w:fill="auto"/>
            <w:noWrap/>
            <w:vAlign w:val="center"/>
            <w:hideMark/>
          </w:tcPr>
          <w:p w14:paraId="1DEA9BC2" w14:textId="3FDB4149"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2.62</w:t>
            </w:r>
          </w:p>
        </w:tc>
        <w:tc>
          <w:tcPr>
            <w:tcW w:w="2041" w:type="dxa"/>
            <w:tcBorders>
              <w:top w:val="nil"/>
              <w:left w:val="nil"/>
              <w:bottom w:val="nil"/>
              <w:right w:val="nil"/>
            </w:tcBorders>
            <w:shd w:val="clear" w:color="auto" w:fill="auto"/>
            <w:noWrap/>
            <w:vAlign w:val="center"/>
            <w:hideMark/>
          </w:tcPr>
          <w:p w14:paraId="4C662908" w14:textId="21937BDB"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2.23</w:t>
            </w:r>
          </w:p>
        </w:tc>
        <w:tc>
          <w:tcPr>
            <w:tcW w:w="1536" w:type="dxa"/>
            <w:tcBorders>
              <w:top w:val="nil"/>
              <w:left w:val="nil"/>
              <w:bottom w:val="nil"/>
              <w:right w:val="nil"/>
            </w:tcBorders>
            <w:shd w:val="clear" w:color="auto" w:fill="auto"/>
            <w:noWrap/>
            <w:vAlign w:val="center"/>
            <w:hideMark/>
          </w:tcPr>
          <w:p w14:paraId="064103A8" w14:textId="3C73F10D"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2.37</w:t>
            </w:r>
          </w:p>
        </w:tc>
      </w:tr>
      <w:tr w:rsidR="00BB1075" w:rsidRPr="00E21717" w14:paraId="4135F88E" w14:textId="77777777" w:rsidTr="00B86BE9">
        <w:trPr>
          <w:trHeight w:val="302"/>
        </w:trPr>
        <w:tc>
          <w:tcPr>
            <w:tcW w:w="3031" w:type="dxa"/>
            <w:tcBorders>
              <w:top w:val="nil"/>
              <w:left w:val="nil"/>
              <w:bottom w:val="nil"/>
              <w:right w:val="nil"/>
            </w:tcBorders>
            <w:shd w:val="clear" w:color="auto" w:fill="auto"/>
            <w:noWrap/>
            <w:vAlign w:val="center"/>
            <w:hideMark/>
          </w:tcPr>
          <w:p w14:paraId="3D8A3AB5" w14:textId="77777777" w:rsidR="00BB1075" w:rsidRPr="00E21717" w:rsidRDefault="00BB1075" w:rsidP="00B86BE9">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Royal Bank of Scotland </w:t>
            </w:r>
          </w:p>
        </w:tc>
        <w:tc>
          <w:tcPr>
            <w:tcW w:w="1879" w:type="dxa"/>
            <w:tcBorders>
              <w:top w:val="nil"/>
              <w:left w:val="nil"/>
              <w:bottom w:val="nil"/>
              <w:right w:val="nil"/>
            </w:tcBorders>
            <w:shd w:val="clear" w:color="auto" w:fill="auto"/>
            <w:noWrap/>
            <w:vAlign w:val="center"/>
            <w:hideMark/>
          </w:tcPr>
          <w:p w14:paraId="7AFB0CCA" w14:textId="7A48B853"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1.61</w:t>
            </w:r>
          </w:p>
        </w:tc>
        <w:tc>
          <w:tcPr>
            <w:tcW w:w="2041" w:type="dxa"/>
            <w:tcBorders>
              <w:top w:val="nil"/>
              <w:left w:val="nil"/>
              <w:bottom w:val="nil"/>
              <w:right w:val="nil"/>
            </w:tcBorders>
            <w:shd w:val="clear" w:color="auto" w:fill="auto"/>
            <w:noWrap/>
            <w:vAlign w:val="center"/>
            <w:hideMark/>
          </w:tcPr>
          <w:p w14:paraId="0C2695D3" w14:textId="438505B0"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0.53</w:t>
            </w:r>
          </w:p>
        </w:tc>
        <w:tc>
          <w:tcPr>
            <w:tcW w:w="1536" w:type="dxa"/>
            <w:tcBorders>
              <w:top w:val="nil"/>
              <w:left w:val="nil"/>
              <w:bottom w:val="nil"/>
              <w:right w:val="nil"/>
            </w:tcBorders>
            <w:shd w:val="clear" w:color="auto" w:fill="auto"/>
            <w:noWrap/>
            <w:vAlign w:val="center"/>
            <w:hideMark/>
          </w:tcPr>
          <w:p w14:paraId="3F4E7D9E" w14:textId="7FA607A8"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0.64</w:t>
            </w:r>
          </w:p>
        </w:tc>
      </w:tr>
      <w:tr w:rsidR="00BB1075" w:rsidRPr="00E21717" w14:paraId="03852C19" w14:textId="77777777" w:rsidTr="00B86BE9">
        <w:trPr>
          <w:trHeight w:val="302"/>
        </w:trPr>
        <w:tc>
          <w:tcPr>
            <w:tcW w:w="3031" w:type="dxa"/>
            <w:tcBorders>
              <w:top w:val="nil"/>
              <w:left w:val="nil"/>
              <w:bottom w:val="nil"/>
              <w:right w:val="nil"/>
            </w:tcBorders>
            <w:shd w:val="clear" w:color="auto" w:fill="auto"/>
            <w:noWrap/>
            <w:vAlign w:val="center"/>
            <w:hideMark/>
          </w:tcPr>
          <w:p w14:paraId="4E8D377A" w14:textId="77777777" w:rsidR="00BB1075" w:rsidRPr="00E21717" w:rsidRDefault="00BB1075" w:rsidP="00B86BE9">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Banco</w:t>
            </w:r>
            <w:proofErr w:type="spellEnd"/>
            <w:r w:rsidRPr="00E21717">
              <w:rPr>
                <w:rFonts w:ascii="dcr10" w:eastAsia="Times New Roman" w:hAnsi="dcr10" w:cs="Times New Roman"/>
                <w:color w:val="000000"/>
                <w:sz w:val="18"/>
                <w:szCs w:val="18"/>
              </w:rPr>
              <w:t xml:space="preserve"> Santander</w:t>
            </w:r>
          </w:p>
        </w:tc>
        <w:tc>
          <w:tcPr>
            <w:tcW w:w="1879" w:type="dxa"/>
            <w:tcBorders>
              <w:top w:val="nil"/>
              <w:left w:val="nil"/>
              <w:bottom w:val="nil"/>
              <w:right w:val="nil"/>
            </w:tcBorders>
            <w:shd w:val="clear" w:color="auto" w:fill="auto"/>
            <w:noWrap/>
            <w:vAlign w:val="center"/>
            <w:hideMark/>
          </w:tcPr>
          <w:p w14:paraId="1A961FA2" w14:textId="35AEF3CF"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1.66</w:t>
            </w:r>
          </w:p>
        </w:tc>
        <w:tc>
          <w:tcPr>
            <w:tcW w:w="2041" w:type="dxa"/>
            <w:tcBorders>
              <w:top w:val="nil"/>
              <w:left w:val="nil"/>
              <w:bottom w:val="nil"/>
              <w:right w:val="nil"/>
            </w:tcBorders>
            <w:shd w:val="clear" w:color="auto" w:fill="auto"/>
            <w:noWrap/>
            <w:vAlign w:val="center"/>
            <w:hideMark/>
          </w:tcPr>
          <w:p w14:paraId="0C485B4D" w14:textId="3C673875"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0.90</w:t>
            </w:r>
          </w:p>
        </w:tc>
        <w:tc>
          <w:tcPr>
            <w:tcW w:w="1536" w:type="dxa"/>
            <w:tcBorders>
              <w:top w:val="nil"/>
              <w:left w:val="nil"/>
              <w:bottom w:val="nil"/>
              <w:right w:val="nil"/>
            </w:tcBorders>
            <w:shd w:val="clear" w:color="auto" w:fill="auto"/>
            <w:noWrap/>
            <w:vAlign w:val="center"/>
            <w:hideMark/>
          </w:tcPr>
          <w:p w14:paraId="4EE35D75" w14:textId="255FC79E"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1.11</w:t>
            </w:r>
          </w:p>
        </w:tc>
      </w:tr>
      <w:tr w:rsidR="00BB1075" w:rsidRPr="00E21717" w14:paraId="0D48529E" w14:textId="77777777" w:rsidTr="00B86BE9">
        <w:trPr>
          <w:trHeight w:val="302"/>
        </w:trPr>
        <w:tc>
          <w:tcPr>
            <w:tcW w:w="3031" w:type="dxa"/>
            <w:tcBorders>
              <w:top w:val="nil"/>
              <w:left w:val="nil"/>
              <w:bottom w:val="nil"/>
              <w:right w:val="nil"/>
            </w:tcBorders>
            <w:shd w:val="clear" w:color="auto" w:fill="auto"/>
            <w:noWrap/>
            <w:vAlign w:val="center"/>
            <w:hideMark/>
          </w:tcPr>
          <w:p w14:paraId="26F95F59" w14:textId="77777777" w:rsidR="00BB1075" w:rsidRPr="00E21717" w:rsidRDefault="00BB1075" w:rsidP="00B86BE9">
            <w:pPr>
              <w:rPr>
                <w:rFonts w:ascii="dcr10" w:eastAsia="Times New Roman" w:hAnsi="dcr10" w:cs="Times New Roman"/>
                <w:color w:val="000000"/>
                <w:sz w:val="17"/>
                <w:szCs w:val="17"/>
              </w:rPr>
            </w:pPr>
            <w:proofErr w:type="spellStart"/>
            <w:r w:rsidRPr="00E21717">
              <w:rPr>
                <w:rFonts w:ascii="dcr10" w:eastAsia="Times New Roman" w:hAnsi="dcr10" w:cs="Times New Roman"/>
                <w:bCs/>
                <w:color w:val="000000"/>
                <w:sz w:val="18"/>
                <w:szCs w:val="18"/>
              </w:rPr>
              <w:t>Societe</w:t>
            </w:r>
            <w:proofErr w:type="spellEnd"/>
            <w:r w:rsidRPr="00E21717">
              <w:rPr>
                <w:rFonts w:ascii="dcr10" w:eastAsia="Times New Roman" w:hAnsi="dcr10" w:cs="Times New Roman"/>
                <w:bCs/>
                <w:color w:val="000000"/>
                <w:sz w:val="18"/>
                <w:szCs w:val="18"/>
              </w:rPr>
              <w:t xml:space="preserve"> </w:t>
            </w:r>
            <w:proofErr w:type="spellStart"/>
            <w:r w:rsidRPr="00E21717">
              <w:rPr>
                <w:rFonts w:ascii="dcr10" w:eastAsia="Times New Roman" w:hAnsi="dcr10" w:cs="Times New Roman"/>
                <w:bCs/>
                <w:color w:val="000000"/>
                <w:sz w:val="18"/>
                <w:szCs w:val="18"/>
              </w:rPr>
              <w:t>Generale</w:t>
            </w:r>
            <w:proofErr w:type="spellEnd"/>
            <w:r w:rsidRPr="00E21717">
              <w:rPr>
                <w:rFonts w:ascii="dcr10" w:eastAsia="Times New Roman" w:hAnsi="dcr10" w:cs="Times New Roman"/>
                <w:bCs/>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47CBAFE0" w14:textId="176C5B5F"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1.82</w:t>
            </w:r>
          </w:p>
        </w:tc>
        <w:tc>
          <w:tcPr>
            <w:tcW w:w="2041" w:type="dxa"/>
            <w:tcBorders>
              <w:top w:val="nil"/>
              <w:left w:val="nil"/>
              <w:bottom w:val="nil"/>
              <w:right w:val="nil"/>
            </w:tcBorders>
            <w:shd w:val="clear" w:color="auto" w:fill="auto"/>
            <w:noWrap/>
            <w:vAlign w:val="center"/>
            <w:hideMark/>
          </w:tcPr>
          <w:p w14:paraId="6C26F658" w14:textId="63151C7D"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0.53</w:t>
            </w:r>
          </w:p>
        </w:tc>
        <w:tc>
          <w:tcPr>
            <w:tcW w:w="1536" w:type="dxa"/>
            <w:tcBorders>
              <w:top w:val="nil"/>
              <w:left w:val="nil"/>
              <w:bottom w:val="nil"/>
              <w:right w:val="nil"/>
            </w:tcBorders>
            <w:shd w:val="clear" w:color="auto" w:fill="auto"/>
            <w:noWrap/>
            <w:vAlign w:val="center"/>
            <w:hideMark/>
          </w:tcPr>
          <w:p w14:paraId="2DC5833C" w14:textId="696C6C60"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0.60</w:t>
            </w:r>
          </w:p>
        </w:tc>
      </w:tr>
      <w:tr w:rsidR="00BB1075" w:rsidRPr="00E21717" w14:paraId="2B0E56E6" w14:textId="77777777" w:rsidTr="00B86BE9">
        <w:trPr>
          <w:trHeight w:val="302"/>
        </w:trPr>
        <w:tc>
          <w:tcPr>
            <w:tcW w:w="3031" w:type="dxa"/>
            <w:tcBorders>
              <w:top w:val="nil"/>
              <w:left w:val="nil"/>
              <w:bottom w:val="nil"/>
              <w:right w:val="nil"/>
            </w:tcBorders>
            <w:shd w:val="clear" w:color="auto" w:fill="auto"/>
            <w:noWrap/>
            <w:vAlign w:val="center"/>
            <w:hideMark/>
          </w:tcPr>
          <w:p w14:paraId="2A962542" w14:textId="77777777" w:rsidR="00BB1075" w:rsidRPr="00E21717" w:rsidRDefault="00BB1075" w:rsidP="00B86BE9">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Standered</w:t>
            </w:r>
            <w:proofErr w:type="spellEnd"/>
            <w:r w:rsidRPr="00E21717">
              <w:rPr>
                <w:rFonts w:ascii="dcr10" w:eastAsia="Times New Roman" w:hAnsi="dcr10" w:cs="Times New Roman"/>
                <w:color w:val="000000"/>
                <w:sz w:val="18"/>
                <w:szCs w:val="18"/>
              </w:rPr>
              <w:t xml:space="preserve"> Chartered </w:t>
            </w:r>
          </w:p>
        </w:tc>
        <w:tc>
          <w:tcPr>
            <w:tcW w:w="1879" w:type="dxa"/>
            <w:tcBorders>
              <w:top w:val="nil"/>
              <w:left w:val="nil"/>
              <w:bottom w:val="nil"/>
              <w:right w:val="nil"/>
            </w:tcBorders>
            <w:shd w:val="clear" w:color="auto" w:fill="auto"/>
            <w:noWrap/>
            <w:vAlign w:val="center"/>
            <w:hideMark/>
          </w:tcPr>
          <w:p w14:paraId="5D200EBF" w14:textId="3D6FCDCC"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2.26</w:t>
            </w:r>
          </w:p>
        </w:tc>
        <w:tc>
          <w:tcPr>
            <w:tcW w:w="2041" w:type="dxa"/>
            <w:tcBorders>
              <w:top w:val="nil"/>
              <w:left w:val="nil"/>
              <w:bottom w:val="nil"/>
              <w:right w:val="nil"/>
            </w:tcBorders>
            <w:shd w:val="clear" w:color="auto" w:fill="auto"/>
            <w:noWrap/>
            <w:vAlign w:val="center"/>
            <w:hideMark/>
          </w:tcPr>
          <w:p w14:paraId="31E290F3" w14:textId="6F4AB39D"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1.38</w:t>
            </w:r>
          </w:p>
        </w:tc>
        <w:tc>
          <w:tcPr>
            <w:tcW w:w="1536" w:type="dxa"/>
            <w:tcBorders>
              <w:top w:val="nil"/>
              <w:left w:val="nil"/>
              <w:bottom w:val="nil"/>
              <w:right w:val="nil"/>
            </w:tcBorders>
            <w:shd w:val="clear" w:color="auto" w:fill="auto"/>
            <w:noWrap/>
            <w:vAlign w:val="center"/>
            <w:hideMark/>
          </w:tcPr>
          <w:p w14:paraId="5BDF92C4" w14:textId="672A9B1F"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1.02</w:t>
            </w:r>
          </w:p>
        </w:tc>
      </w:tr>
      <w:tr w:rsidR="00BB1075" w:rsidRPr="00E21717" w14:paraId="01215C67" w14:textId="77777777" w:rsidTr="00B86BE9">
        <w:trPr>
          <w:trHeight w:val="302"/>
        </w:trPr>
        <w:tc>
          <w:tcPr>
            <w:tcW w:w="3031" w:type="dxa"/>
            <w:tcBorders>
              <w:top w:val="nil"/>
              <w:left w:val="nil"/>
              <w:bottom w:val="nil"/>
              <w:right w:val="nil"/>
            </w:tcBorders>
            <w:shd w:val="clear" w:color="auto" w:fill="auto"/>
            <w:noWrap/>
            <w:vAlign w:val="center"/>
            <w:hideMark/>
          </w:tcPr>
          <w:p w14:paraId="60288C65" w14:textId="77777777" w:rsidR="00BB1075" w:rsidRPr="00E21717" w:rsidRDefault="00BB1075" w:rsidP="00B86BE9">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Sumitomo Mitsui Financial </w:t>
            </w:r>
          </w:p>
        </w:tc>
        <w:tc>
          <w:tcPr>
            <w:tcW w:w="1879" w:type="dxa"/>
            <w:tcBorders>
              <w:top w:val="nil"/>
              <w:left w:val="nil"/>
              <w:bottom w:val="nil"/>
              <w:right w:val="nil"/>
            </w:tcBorders>
            <w:shd w:val="clear" w:color="auto" w:fill="auto"/>
            <w:noWrap/>
            <w:vAlign w:val="center"/>
            <w:hideMark/>
          </w:tcPr>
          <w:p w14:paraId="0E9EEC8A" w14:textId="2367CD91"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1.88</w:t>
            </w:r>
          </w:p>
        </w:tc>
        <w:tc>
          <w:tcPr>
            <w:tcW w:w="2041" w:type="dxa"/>
            <w:tcBorders>
              <w:top w:val="nil"/>
              <w:left w:val="nil"/>
              <w:bottom w:val="nil"/>
              <w:right w:val="nil"/>
            </w:tcBorders>
            <w:shd w:val="clear" w:color="auto" w:fill="auto"/>
            <w:noWrap/>
            <w:vAlign w:val="center"/>
            <w:hideMark/>
          </w:tcPr>
          <w:p w14:paraId="01E5288D" w14:textId="739AE0E0"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0.76</w:t>
            </w:r>
          </w:p>
        </w:tc>
        <w:tc>
          <w:tcPr>
            <w:tcW w:w="1536" w:type="dxa"/>
            <w:tcBorders>
              <w:top w:val="nil"/>
              <w:left w:val="nil"/>
              <w:bottom w:val="nil"/>
              <w:right w:val="nil"/>
            </w:tcBorders>
            <w:shd w:val="clear" w:color="auto" w:fill="auto"/>
            <w:noWrap/>
            <w:vAlign w:val="center"/>
            <w:hideMark/>
          </w:tcPr>
          <w:p w14:paraId="4F516876" w14:textId="2641E96D"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0.79</w:t>
            </w:r>
          </w:p>
        </w:tc>
      </w:tr>
      <w:tr w:rsidR="00BB1075" w:rsidRPr="00E21717" w14:paraId="180D576C" w14:textId="77777777" w:rsidTr="00B86BE9">
        <w:trPr>
          <w:trHeight w:val="302"/>
        </w:trPr>
        <w:tc>
          <w:tcPr>
            <w:tcW w:w="3031" w:type="dxa"/>
            <w:tcBorders>
              <w:top w:val="nil"/>
              <w:left w:val="nil"/>
              <w:bottom w:val="nil"/>
              <w:right w:val="nil"/>
            </w:tcBorders>
            <w:shd w:val="clear" w:color="auto" w:fill="auto"/>
            <w:noWrap/>
            <w:vAlign w:val="center"/>
            <w:hideMark/>
          </w:tcPr>
          <w:p w14:paraId="77E28440" w14:textId="77777777" w:rsidR="00BB1075" w:rsidRPr="00E21717" w:rsidRDefault="00BB1075" w:rsidP="00B86BE9">
            <w:pPr>
              <w:rPr>
                <w:rFonts w:ascii="dcr10" w:eastAsia="Times New Roman" w:hAnsi="dcr10" w:cs="Times New Roman"/>
                <w:color w:val="000000"/>
                <w:sz w:val="17"/>
                <w:szCs w:val="17"/>
              </w:rPr>
            </w:pPr>
            <w:r w:rsidRPr="00E21717">
              <w:rPr>
                <w:rFonts w:ascii="dcr10" w:eastAsia="Times New Roman" w:hAnsi="dcr10" w:cs="Times New Roman"/>
                <w:color w:val="000000"/>
                <w:sz w:val="18"/>
                <w:szCs w:val="18"/>
              </w:rPr>
              <w:t>Toronto-</w:t>
            </w:r>
            <w:proofErr w:type="spellStart"/>
            <w:r w:rsidRPr="00E21717">
              <w:rPr>
                <w:rFonts w:ascii="dcr10" w:eastAsia="Times New Roman" w:hAnsi="dcr10" w:cs="Times New Roman"/>
                <w:color w:val="000000"/>
                <w:sz w:val="18"/>
                <w:szCs w:val="18"/>
              </w:rPr>
              <w:t>Dominon</w:t>
            </w:r>
            <w:proofErr w:type="spellEnd"/>
            <w:r w:rsidRPr="00E21717">
              <w:rPr>
                <w:rFonts w:ascii="dcr10" w:eastAsia="Times New Roman" w:hAnsi="dcr10" w:cs="Times New Roman"/>
                <w:color w:val="000000"/>
                <w:sz w:val="18"/>
                <w:szCs w:val="18"/>
              </w:rPr>
              <w:t xml:space="preserve"> Group </w:t>
            </w:r>
          </w:p>
        </w:tc>
        <w:tc>
          <w:tcPr>
            <w:tcW w:w="1879" w:type="dxa"/>
            <w:tcBorders>
              <w:top w:val="nil"/>
              <w:left w:val="nil"/>
              <w:bottom w:val="nil"/>
              <w:right w:val="nil"/>
            </w:tcBorders>
            <w:shd w:val="clear" w:color="auto" w:fill="auto"/>
            <w:noWrap/>
            <w:vAlign w:val="center"/>
            <w:hideMark/>
          </w:tcPr>
          <w:p w14:paraId="47F88B3B" w14:textId="7822CDE9"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2.35</w:t>
            </w:r>
          </w:p>
        </w:tc>
        <w:tc>
          <w:tcPr>
            <w:tcW w:w="2041" w:type="dxa"/>
            <w:tcBorders>
              <w:top w:val="nil"/>
              <w:left w:val="nil"/>
              <w:bottom w:val="nil"/>
              <w:right w:val="nil"/>
            </w:tcBorders>
            <w:shd w:val="clear" w:color="auto" w:fill="auto"/>
            <w:noWrap/>
            <w:vAlign w:val="center"/>
            <w:hideMark/>
          </w:tcPr>
          <w:p w14:paraId="25021EBE" w14:textId="1C745BCB"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1.78</w:t>
            </w:r>
          </w:p>
        </w:tc>
        <w:tc>
          <w:tcPr>
            <w:tcW w:w="1536" w:type="dxa"/>
            <w:tcBorders>
              <w:top w:val="nil"/>
              <w:left w:val="nil"/>
              <w:bottom w:val="nil"/>
              <w:right w:val="nil"/>
            </w:tcBorders>
            <w:shd w:val="clear" w:color="auto" w:fill="auto"/>
            <w:noWrap/>
            <w:vAlign w:val="center"/>
            <w:hideMark/>
          </w:tcPr>
          <w:p w14:paraId="5D621D5D" w14:textId="4FAB0A12"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1.96</w:t>
            </w:r>
          </w:p>
        </w:tc>
      </w:tr>
      <w:tr w:rsidR="00BB1075" w:rsidRPr="00E21717" w14:paraId="4CAFAD24" w14:textId="77777777" w:rsidTr="00B86BE9">
        <w:trPr>
          <w:trHeight w:val="302"/>
        </w:trPr>
        <w:tc>
          <w:tcPr>
            <w:tcW w:w="3031" w:type="dxa"/>
            <w:tcBorders>
              <w:top w:val="nil"/>
              <w:left w:val="nil"/>
              <w:bottom w:val="nil"/>
              <w:right w:val="nil"/>
            </w:tcBorders>
            <w:shd w:val="clear" w:color="auto" w:fill="auto"/>
            <w:noWrap/>
            <w:vAlign w:val="center"/>
            <w:hideMark/>
          </w:tcPr>
          <w:p w14:paraId="52DF8D85" w14:textId="77777777" w:rsidR="00BB1075" w:rsidRPr="00E21717" w:rsidRDefault="00BB1075" w:rsidP="00B86BE9">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UBS Group AG </w:t>
            </w:r>
          </w:p>
        </w:tc>
        <w:tc>
          <w:tcPr>
            <w:tcW w:w="1879" w:type="dxa"/>
            <w:tcBorders>
              <w:top w:val="nil"/>
              <w:left w:val="nil"/>
              <w:bottom w:val="nil"/>
              <w:right w:val="nil"/>
            </w:tcBorders>
            <w:shd w:val="clear" w:color="auto" w:fill="auto"/>
            <w:noWrap/>
            <w:vAlign w:val="center"/>
            <w:hideMark/>
          </w:tcPr>
          <w:p w14:paraId="65450580" w14:textId="0E00848C"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2.59</w:t>
            </w:r>
          </w:p>
        </w:tc>
        <w:tc>
          <w:tcPr>
            <w:tcW w:w="2041" w:type="dxa"/>
            <w:tcBorders>
              <w:top w:val="nil"/>
              <w:left w:val="nil"/>
              <w:bottom w:val="nil"/>
              <w:right w:val="nil"/>
            </w:tcBorders>
            <w:shd w:val="clear" w:color="auto" w:fill="auto"/>
            <w:noWrap/>
            <w:vAlign w:val="center"/>
            <w:hideMark/>
          </w:tcPr>
          <w:p w14:paraId="23F0E5B4" w14:textId="071D0D44"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1.21</w:t>
            </w:r>
          </w:p>
        </w:tc>
        <w:tc>
          <w:tcPr>
            <w:tcW w:w="1536" w:type="dxa"/>
            <w:tcBorders>
              <w:top w:val="nil"/>
              <w:left w:val="nil"/>
              <w:bottom w:val="nil"/>
              <w:right w:val="nil"/>
            </w:tcBorders>
            <w:shd w:val="clear" w:color="auto" w:fill="auto"/>
            <w:noWrap/>
            <w:vAlign w:val="center"/>
            <w:hideMark/>
          </w:tcPr>
          <w:p w14:paraId="6BA8FAF0" w14:textId="09EAFD42"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1.30</w:t>
            </w:r>
          </w:p>
        </w:tc>
      </w:tr>
      <w:tr w:rsidR="00BB1075" w:rsidRPr="00E21717" w14:paraId="289FFD98" w14:textId="77777777" w:rsidTr="00B86BE9">
        <w:trPr>
          <w:trHeight w:val="302"/>
        </w:trPr>
        <w:tc>
          <w:tcPr>
            <w:tcW w:w="3031" w:type="dxa"/>
            <w:tcBorders>
              <w:top w:val="nil"/>
              <w:left w:val="nil"/>
              <w:bottom w:val="nil"/>
              <w:right w:val="nil"/>
            </w:tcBorders>
            <w:shd w:val="clear" w:color="auto" w:fill="auto"/>
            <w:noWrap/>
            <w:vAlign w:val="center"/>
            <w:hideMark/>
          </w:tcPr>
          <w:p w14:paraId="0A9223E9" w14:textId="77777777" w:rsidR="00BB1075" w:rsidRPr="00E21717" w:rsidRDefault="00BB1075" w:rsidP="00B86BE9">
            <w:pPr>
              <w:rPr>
                <w:rFonts w:ascii="dcr10" w:eastAsia="Times New Roman" w:hAnsi="dcr10" w:cs="Times New Roman"/>
                <w:color w:val="000000"/>
                <w:sz w:val="17"/>
                <w:szCs w:val="17"/>
              </w:rPr>
            </w:pPr>
            <w:proofErr w:type="spellStart"/>
            <w:r w:rsidRPr="00E21717">
              <w:rPr>
                <w:rFonts w:ascii="dcr10" w:eastAsia="Times New Roman" w:hAnsi="dcr10" w:cs="Times New Roman"/>
                <w:color w:val="000000"/>
                <w:sz w:val="18"/>
                <w:szCs w:val="18"/>
              </w:rPr>
              <w:t>UniCredit</w:t>
            </w:r>
            <w:proofErr w:type="spellEnd"/>
            <w:r w:rsidRPr="00E21717">
              <w:rPr>
                <w:rFonts w:ascii="dcr10" w:eastAsia="Times New Roman" w:hAnsi="dcr10" w:cs="Times New Roman"/>
                <w:color w:val="000000"/>
                <w:sz w:val="18"/>
                <w:szCs w:val="18"/>
              </w:rPr>
              <w:t xml:space="preserve"> </w:t>
            </w:r>
            <w:proofErr w:type="spellStart"/>
            <w:r w:rsidRPr="00E21717">
              <w:rPr>
                <w:rFonts w:ascii="dcr10" w:eastAsia="Times New Roman" w:hAnsi="dcr10" w:cs="Times New Roman"/>
                <w:color w:val="000000"/>
                <w:sz w:val="18"/>
                <w:szCs w:val="18"/>
              </w:rPr>
              <w:t>S.p.A</w:t>
            </w:r>
            <w:proofErr w:type="spellEnd"/>
            <w:r w:rsidRPr="00E21717">
              <w:rPr>
                <w:rFonts w:ascii="dcr10" w:eastAsia="Times New Roman" w:hAnsi="dcr10" w:cs="Times New Roman"/>
                <w:color w:val="000000"/>
                <w:sz w:val="18"/>
                <w:szCs w:val="18"/>
              </w:rPr>
              <w:t xml:space="preserve">. </w:t>
            </w:r>
          </w:p>
        </w:tc>
        <w:tc>
          <w:tcPr>
            <w:tcW w:w="1879" w:type="dxa"/>
            <w:tcBorders>
              <w:top w:val="nil"/>
              <w:left w:val="nil"/>
              <w:bottom w:val="nil"/>
              <w:right w:val="nil"/>
            </w:tcBorders>
            <w:shd w:val="clear" w:color="auto" w:fill="auto"/>
            <w:noWrap/>
            <w:vAlign w:val="center"/>
            <w:hideMark/>
          </w:tcPr>
          <w:p w14:paraId="23784F5A" w14:textId="541F16BB"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1.60</w:t>
            </w:r>
          </w:p>
        </w:tc>
        <w:tc>
          <w:tcPr>
            <w:tcW w:w="2041" w:type="dxa"/>
            <w:tcBorders>
              <w:top w:val="nil"/>
              <w:left w:val="nil"/>
              <w:bottom w:val="nil"/>
              <w:right w:val="nil"/>
            </w:tcBorders>
            <w:shd w:val="clear" w:color="auto" w:fill="auto"/>
            <w:noWrap/>
            <w:vAlign w:val="center"/>
            <w:hideMark/>
          </w:tcPr>
          <w:p w14:paraId="598901E4" w14:textId="148D94E9"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0.44</w:t>
            </w:r>
          </w:p>
        </w:tc>
        <w:tc>
          <w:tcPr>
            <w:tcW w:w="1536" w:type="dxa"/>
            <w:tcBorders>
              <w:top w:val="nil"/>
              <w:left w:val="nil"/>
              <w:bottom w:val="nil"/>
              <w:right w:val="nil"/>
            </w:tcBorders>
            <w:shd w:val="clear" w:color="auto" w:fill="auto"/>
            <w:noWrap/>
            <w:vAlign w:val="center"/>
            <w:hideMark/>
          </w:tcPr>
          <w:p w14:paraId="781A6BA1" w14:textId="54184A0E"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0.70</w:t>
            </w:r>
          </w:p>
        </w:tc>
      </w:tr>
      <w:tr w:rsidR="00BB1075" w:rsidRPr="00E21717" w14:paraId="50012DDB" w14:textId="77777777" w:rsidTr="00B86BE9">
        <w:trPr>
          <w:trHeight w:val="302"/>
        </w:trPr>
        <w:tc>
          <w:tcPr>
            <w:tcW w:w="3031" w:type="dxa"/>
            <w:tcBorders>
              <w:top w:val="nil"/>
              <w:left w:val="nil"/>
              <w:bottom w:val="nil"/>
              <w:right w:val="nil"/>
            </w:tcBorders>
            <w:shd w:val="clear" w:color="auto" w:fill="auto"/>
            <w:noWrap/>
            <w:vAlign w:val="center"/>
            <w:hideMark/>
          </w:tcPr>
          <w:p w14:paraId="1CD07EAC" w14:textId="77777777" w:rsidR="00BB1075" w:rsidRPr="00E21717" w:rsidRDefault="00BB1075" w:rsidP="00B86BE9">
            <w:pPr>
              <w:rPr>
                <w:rFonts w:ascii="dcr10" w:eastAsia="Times New Roman" w:hAnsi="dcr10" w:cs="Times New Roman"/>
                <w:color w:val="000000"/>
                <w:sz w:val="17"/>
                <w:szCs w:val="17"/>
              </w:rPr>
            </w:pPr>
            <w:r w:rsidRPr="00E21717">
              <w:rPr>
                <w:rFonts w:ascii="dcr10" w:eastAsia="Times New Roman" w:hAnsi="dcr10" w:cs="Times New Roman"/>
                <w:bCs/>
                <w:color w:val="000000"/>
                <w:sz w:val="18"/>
                <w:szCs w:val="18"/>
              </w:rPr>
              <w:t xml:space="preserve">Westpac Banking </w:t>
            </w:r>
          </w:p>
        </w:tc>
        <w:tc>
          <w:tcPr>
            <w:tcW w:w="1879" w:type="dxa"/>
            <w:tcBorders>
              <w:top w:val="nil"/>
              <w:left w:val="nil"/>
              <w:bottom w:val="nil"/>
              <w:right w:val="nil"/>
            </w:tcBorders>
            <w:shd w:val="clear" w:color="auto" w:fill="auto"/>
            <w:noWrap/>
            <w:vAlign w:val="center"/>
            <w:hideMark/>
          </w:tcPr>
          <w:p w14:paraId="059846C8" w14:textId="73312D32"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2.69</w:t>
            </w:r>
          </w:p>
        </w:tc>
        <w:tc>
          <w:tcPr>
            <w:tcW w:w="2041" w:type="dxa"/>
            <w:tcBorders>
              <w:top w:val="nil"/>
              <w:left w:val="nil"/>
              <w:bottom w:val="nil"/>
              <w:right w:val="nil"/>
            </w:tcBorders>
            <w:shd w:val="clear" w:color="auto" w:fill="auto"/>
            <w:noWrap/>
            <w:vAlign w:val="center"/>
            <w:hideMark/>
          </w:tcPr>
          <w:p w14:paraId="3DE02645" w14:textId="23E5A96D"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1.86</w:t>
            </w:r>
          </w:p>
        </w:tc>
        <w:tc>
          <w:tcPr>
            <w:tcW w:w="1536" w:type="dxa"/>
            <w:tcBorders>
              <w:top w:val="nil"/>
              <w:left w:val="nil"/>
              <w:bottom w:val="nil"/>
              <w:right w:val="nil"/>
            </w:tcBorders>
            <w:shd w:val="clear" w:color="auto" w:fill="auto"/>
            <w:noWrap/>
            <w:vAlign w:val="center"/>
            <w:hideMark/>
          </w:tcPr>
          <w:p w14:paraId="5B290712" w14:textId="55EA7AFD" w:rsidR="00BB1075" w:rsidRPr="00371459" w:rsidRDefault="00BB1075" w:rsidP="00B86BE9">
            <w:pPr>
              <w:jc w:val="center"/>
              <w:rPr>
                <w:rFonts w:ascii="dcr10" w:eastAsia="Times New Roman" w:hAnsi="dcr10" w:cs="Times New Roman"/>
                <w:color w:val="000000"/>
                <w:sz w:val="18"/>
                <w:szCs w:val="18"/>
              </w:rPr>
            </w:pPr>
            <w:r w:rsidRPr="00BB1075">
              <w:rPr>
                <w:rFonts w:ascii="dcr10" w:eastAsia="Times New Roman" w:hAnsi="dcr10" w:cs="Times New Roman"/>
                <w:color w:val="000000"/>
                <w:sz w:val="18"/>
                <w:szCs w:val="18"/>
              </w:rPr>
              <w:t>2.16</w:t>
            </w:r>
          </w:p>
        </w:tc>
      </w:tr>
      <w:tr w:rsidR="00BB1075" w:rsidRPr="00E21717" w14:paraId="184E3DD1" w14:textId="77777777" w:rsidTr="00B86BE9">
        <w:trPr>
          <w:trHeight w:val="302"/>
        </w:trPr>
        <w:tc>
          <w:tcPr>
            <w:tcW w:w="3031" w:type="dxa"/>
            <w:tcBorders>
              <w:top w:val="nil"/>
              <w:left w:val="nil"/>
              <w:bottom w:val="nil"/>
              <w:right w:val="nil"/>
            </w:tcBorders>
            <w:shd w:val="clear" w:color="auto" w:fill="auto"/>
            <w:noWrap/>
            <w:vAlign w:val="center"/>
            <w:hideMark/>
          </w:tcPr>
          <w:p w14:paraId="58490F1C" w14:textId="77777777" w:rsidR="00BB1075" w:rsidRPr="00371459" w:rsidRDefault="00BB1075" w:rsidP="00B86BE9">
            <w:pPr>
              <w:rPr>
                <w:rFonts w:ascii="dcr10" w:eastAsia="Times New Roman" w:hAnsi="dcr10" w:cs="Times New Roman"/>
                <w:i/>
                <w:color w:val="000000"/>
                <w:sz w:val="17"/>
                <w:szCs w:val="17"/>
              </w:rPr>
            </w:pPr>
            <w:r w:rsidRPr="00371459">
              <w:rPr>
                <w:rFonts w:ascii="dcr10" w:eastAsia="Times New Roman" w:hAnsi="dcr10" w:cs="Times New Roman"/>
                <w:i/>
                <w:color w:val="000000"/>
                <w:sz w:val="18"/>
                <w:szCs w:val="18"/>
              </w:rPr>
              <w:t>Mean</w:t>
            </w:r>
          </w:p>
        </w:tc>
        <w:tc>
          <w:tcPr>
            <w:tcW w:w="1879" w:type="dxa"/>
            <w:tcBorders>
              <w:top w:val="nil"/>
              <w:left w:val="nil"/>
              <w:bottom w:val="nil"/>
              <w:right w:val="nil"/>
            </w:tcBorders>
            <w:shd w:val="clear" w:color="auto" w:fill="auto"/>
            <w:noWrap/>
            <w:vAlign w:val="center"/>
            <w:hideMark/>
          </w:tcPr>
          <w:p w14:paraId="05D59C3D" w14:textId="4C054647" w:rsidR="00BB1075" w:rsidRPr="00BB1075" w:rsidRDefault="00BB1075" w:rsidP="00B86BE9">
            <w:pPr>
              <w:jc w:val="center"/>
              <w:rPr>
                <w:rFonts w:ascii="dcr10" w:eastAsia="Times New Roman" w:hAnsi="dcr10" w:cs="Times New Roman"/>
                <w:i/>
                <w:color w:val="000000"/>
                <w:sz w:val="18"/>
                <w:szCs w:val="18"/>
              </w:rPr>
            </w:pPr>
            <w:r w:rsidRPr="00BB1075">
              <w:rPr>
                <w:rFonts w:ascii="dcr10" w:eastAsia="Times New Roman" w:hAnsi="dcr10" w:cs="Times New Roman"/>
                <w:i/>
                <w:color w:val="000000"/>
                <w:sz w:val="18"/>
                <w:szCs w:val="18"/>
              </w:rPr>
              <w:t>1.90</w:t>
            </w:r>
          </w:p>
        </w:tc>
        <w:tc>
          <w:tcPr>
            <w:tcW w:w="2041" w:type="dxa"/>
            <w:tcBorders>
              <w:top w:val="nil"/>
              <w:left w:val="nil"/>
              <w:bottom w:val="nil"/>
              <w:right w:val="nil"/>
            </w:tcBorders>
            <w:shd w:val="clear" w:color="auto" w:fill="auto"/>
            <w:noWrap/>
            <w:vAlign w:val="center"/>
            <w:hideMark/>
          </w:tcPr>
          <w:p w14:paraId="6ED77552" w14:textId="1B5CEA3B" w:rsidR="00BB1075" w:rsidRPr="00BB1075" w:rsidRDefault="00BB1075" w:rsidP="00B86BE9">
            <w:pPr>
              <w:jc w:val="center"/>
              <w:rPr>
                <w:rFonts w:ascii="dcr10" w:eastAsia="Times New Roman" w:hAnsi="dcr10" w:cs="Times New Roman"/>
                <w:i/>
                <w:color w:val="000000"/>
                <w:sz w:val="18"/>
                <w:szCs w:val="18"/>
              </w:rPr>
            </w:pPr>
            <w:r w:rsidRPr="00BB1075">
              <w:rPr>
                <w:rFonts w:ascii="dcr10" w:eastAsia="Times New Roman" w:hAnsi="dcr10" w:cs="Times New Roman"/>
                <w:i/>
                <w:color w:val="000000"/>
                <w:sz w:val="18"/>
                <w:szCs w:val="18"/>
              </w:rPr>
              <w:t>1.05</w:t>
            </w:r>
          </w:p>
        </w:tc>
        <w:tc>
          <w:tcPr>
            <w:tcW w:w="1536" w:type="dxa"/>
            <w:tcBorders>
              <w:top w:val="nil"/>
              <w:left w:val="nil"/>
              <w:bottom w:val="nil"/>
              <w:right w:val="nil"/>
            </w:tcBorders>
            <w:shd w:val="clear" w:color="auto" w:fill="auto"/>
            <w:noWrap/>
            <w:vAlign w:val="center"/>
            <w:hideMark/>
          </w:tcPr>
          <w:p w14:paraId="5ABCCE96" w14:textId="1F251C7D" w:rsidR="00BB1075" w:rsidRPr="00BB1075" w:rsidRDefault="00BB1075" w:rsidP="00B86BE9">
            <w:pPr>
              <w:jc w:val="center"/>
              <w:rPr>
                <w:rFonts w:ascii="dcr10" w:eastAsia="Times New Roman" w:hAnsi="dcr10" w:cs="Times New Roman"/>
                <w:i/>
                <w:color w:val="000000"/>
                <w:sz w:val="18"/>
                <w:szCs w:val="18"/>
              </w:rPr>
            </w:pPr>
            <w:r w:rsidRPr="00BB1075">
              <w:rPr>
                <w:rFonts w:ascii="dcr10" w:eastAsia="Times New Roman" w:hAnsi="dcr10" w:cs="Times New Roman"/>
                <w:i/>
                <w:color w:val="000000"/>
                <w:sz w:val="18"/>
                <w:szCs w:val="18"/>
              </w:rPr>
              <w:t>1.13</w:t>
            </w:r>
          </w:p>
        </w:tc>
      </w:tr>
      <w:tr w:rsidR="00BB1075" w:rsidRPr="00E21717" w14:paraId="2771855F" w14:textId="77777777" w:rsidTr="00B86BE9">
        <w:trPr>
          <w:trHeight w:val="302"/>
        </w:trPr>
        <w:tc>
          <w:tcPr>
            <w:tcW w:w="3031" w:type="dxa"/>
            <w:tcBorders>
              <w:top w:val="nil"/>
              <w:left w:val="nil"/>
              <w:bottom w:val="nil"/>
              <w:right w:val="nil"/>
            </w:tcBorders>
            <w:shd w:val="clear" w:color="auto" w:fill="auto"/>
            <w:noWrap/>
            <w:vAlign w:val="center"/>
            <w:hideMark/>
          </w:tcPr>
          <w:p w14:paraId="0CA62EEE" w14:textId="77777777" w:rsidR="00BB1075" w:rsidRPr="00371459" w:rsidRDefault="00BB1075" w:rsidP="00B86BE9">
            <w:pPr>
              <w:rPr>
                <w:rFonts w:ascii="dcr10" w:eastAsia="Times New Roman" w:hAnsi="dcr10" w:cs="Times New Roman"/>
                <w:i/>
                <w:color w:val="000000"/>
                <w:sz w:val="17"/>
                <w:szCs w:val="17"/>
              </w:rPr>
            </w:pPr>
            <w:r w:rsidRPr="00371459">
              <w:rPr>
                <w:rFonts w:ascii="dcr10" w:eastAsia="Times New Roman" w:hAnsi="dcr10" w:cs="Times New Roman"/>
                <w:bCs/>
                <w:i/>
                <w:color w:val="000000"/>
                <w:sz w:val="18"/>
                <w:szCs w:val="18"/>
              </w:rPr>
              <w:t>Median</w:t>
            </w:r>
          </w:p>
        </w:tc>
        <w:tc>
          <w:tcPr>
            <w:tcW w:w="1879" w:type="dxa"/>
            <w:tcBorders>
              <w:top w:val="nil"/>
              <w:left w:val="nil"/>
              <w:bottom w:val="nil"/>
              <w:right w:val="nil"/>
            </w:tcBorders>
            <w:shd w:val="clear" w:color="auto" w:fill="auto"/>
            <w:noWrap/>
            <w:vAlign w:val="center"/>
            <w:hideMark/>
          </w:tcPr>
          <w:p w14:paraId="5E63162F" w14:textId="3C332CDD" w:rsidR="00BB1075" w:rsidRPr="00BB1075" w:rsidRDefault="00BB1075" w:rsidP="00B86BE9">
            <w:pPr>
              <w:jc w:val="center"/>
              <w:rPr>
                <w:rFonts w:ascii="dcr10" w:eastAsia="Times New Roman" w:hAnsi="dcr10" w:cs="Times New Roman"/>
                <w:i/>
                <w:color w:val="000000"/>
                <w:sz w:val="18"/>
                <w:szCs w:val="18"/>
              </w:rPr>
            </w:pPr>
            <w:r w:rsidRPr="00BB1075">
              <w:rPr>
                <w:rFonts w:ascii="dcr10" w:eastAsia="Times New Roman" w:hAnsi="dcr10" w:cs="Times New Roman"/>
                <w:i/>
                <w:color w:val="000000"/>
                <w:sz w:val="18"/>
                <w:szCs w:val="18"/>
              </w:rPr>
              <w:t>1.79</w:t>
            </w:r>
          </w:p>
        </w:tc>
        <w:tc>
          <w:tcPr>
            <w:tcW w:w="2041" w:type="dxa"/>
            <w:tcBorders>
              <w:top w:val="nil"/>
              <w:left w:val="nil"/>
              <w:bottom w:val="nil"/>
              <w:right w:val="nil"/>
            </w:tcBorders>
            <w:shd w:val="clear" w:color="auto" w:fill="auto"/>
            <w:noWrap/>
            <w:vAlign w:val="center"/>
            <w:hideMark/>
          </w:tcPr>
          <w:p w14:paraId="1A56EBFB" w14:textId="52E08E07" w:rsidR="00BB1075" w:rsidRPr="00BB1075" w:rsidRDefault="00BB1075" w:rsidP="00B86BE9">
            <w:pPr>
              <w:jc w:val="center"/>
              <w:rPr>
                <w:rFonts w:ascii="dcr10" w:eastAsia="Times New Roman" w:hAnsi="dcr10" w:cs="Times New Roman"/>
                <w:i/>
                <w:color w:val="000000"/>
                <w:sz w:val="18"/>
                <w:szCs w:val="18"/>
              </w:rPr>
            </w:pPr>
            <w:r w:rsidRPr="00BB1075">
              <w:rPr>
                <w:rFonts w:ascii="dcr10" w:eastAsia="Times New Roman" w:hAnsi="dcr10" w:cs="Times New Roman"/>
                <w:i/>
                <w:color w:val="000000"/>
                <w:sz w:val="18"/>
                <w:szCs w:val="18"/>
              </w:rPr>
              <w:t>0.90</w:t>
            </w:r>
          </w:p>
        </w:tc>
        <w:tc>
          <w:tcPr>
            <w:tcW w:w="1536" w:type="dxa"/>
            <w:tcBorders>
              <w:top w:val="nil"/>
              <w:left w:val="nil"/>
              <w:bottom w:val="nil"/>
              <w:right w:val="nil"/>
            </w:tcBorders>
            <w:shd w:val="clear" w:color="auto" w:fill="auto"/>
            <w:noWrap/>
            <w:vAlign w:val="center"/>
            <w:hideMark/>
          </w:tcPr>
          <w:p w14:paraId="13A7CD09" w14:textId="62405425" w:rsidR="00BB1075" w:rsidRPr="00BB1075" w:rsidRDefault="00BB1075" w:rsidP="00B86BE9">
            <w:pPr>
              <w:jc w:val="center"/>
              <w:rPr>
                <w:rFonts w:ascii="dcr10" w:eastAsia="Times New Roman" w:hAnsi="dcr10" w:cs="Times New Roman"/>
                <w:i/>
                <w:color w:val="000000"/>
                <w:sz w:val="18"/>
                <w:szCs w:val="18"/>
              </w:rPr>
            </w:pPr>
            <w:r w:rsidRPr="00BB1075">
              <w:rPr>
                <w:rFonts w:ascii="dcr10" w:eastAsia="Times New Roman" w:hAnsi="dcr10" w:cs="Times New Roman"/>
                <w:i/>
                <w:color w:val="000000"/>
                <w:sz w:val="18"/>
                <w:szCs w:val="18"/>
              </w:rPr>
              <w:t>0.98</w:t>
            </w:r>
          </w:p>
        </w:tc>
      </w:tr>
      <w:tr w:rsidR="00552EF7" w:rsidRPr="00E21717" w14:paraId="3C829C3E" w14:textId="77777777" w:rsidTr="00B86BE9">
        <w:trPr>
          <w:trHeight w:val="302"/>
        </w:trPr>
        <w:tc>
          <w:tcPr>
            <w:tcW w:w="3031" w:type="dxa"/>
            <w:tcBorders>
              <w:top w:val="nil"/>
              <w:left w:val="nil"/>
              <w:bottom w:val="nil"/>
              <w:right w:val="nil"/>
            </w:tcBorders>
            <w:shd w:val="clear" w:color="auto" w:fill="auto"/>
            <w:noWrap/>
            <w:vAlign w:val="bottom"/>
            <w:hideMark/>
          </w:tcPr>
          <w:p w14:paraId="491662B4" w14:textId="77777777" w:rsidR="00552EF7" w:rsidRPr="00E21717" w:rsidRDefault="00552EF7" w:rsidP="00B86BE9">
            <w:pPr>
              <w:rPr>
                <w:rFonts w:ascii="dcr10" w:eastAsia="Times New Roman" w:hAnsi="dcr10" w:cs="Times New Roman"/>
                <w:i/>
                <w:iCs/>
                <w:color w:val="000000"/>
                <w:sz w:val="17"/>
                <w:szCs w:val="17"/>
              </w:rPr>
            </w:pPr>
            <w:r w:rsidRPr="00E21717">
              <w:rPr>
                <w:rFonts w:ascii="dcr10" w:eastAsia="Times New Roman" w:hAnsi="dcr10" w:cs="Times New Roman"/>
                <w:i/>
                <w:iCs/>
                <w:color w:val="0000FF"/>
                <w:sz w:val="18"/>
                <w:szCs w:val="18"/>
              </w:rPr>
              <w:t xml:space="preserve">Big 6 </w:t>
            </w:r>
            <w:r>
              <w:rPr>
                <w:rFonts w:ascii="dcr10" w:eastAsia="Times New Roman" w:hAnsi="dcr10" w:cs="Times New Roman"/>
                <w:i/>
                <w:iCs/>
                <w:color w:val="0000FF"/>
                <w:sz w:val="18"/>
                <w:szCs w:val="18"/>
              </w:rPr>
              <w:t>Mean</w:t>
            </w:r>
            <w:r w:rsidRPr="00E21717">
              <w:rPr>
                <w:rFonts w:ascii="dcr10" w:eastAsia="Times New Roman" w:hAnsi="dcr10" w:cs="Times New Roman"/>
                <w:i/>
                <w:iCs/>
                <w:color w:val="0000FF"/>
                <w:sz w:val="18"/>
                <w:szCs w:val="18"/>
              </w:rPr>
              <w:t xml:space="preserve"> </w:t>
            </w:r>
          </w:p>
        </w:tc>
        <w:tc>
          <w:tcPr>
            <w:tcW w:w="1879" w:type="dxa"/>
            <w:tcBorders>
              <w:top w:val="nil"/>
              <w:left w:val="nil"/>
              <w:bottom w:val="nil"/>
              <w:right w:val="nil"/>
            </w:tcBorders>
            <w:shd w:val="clear" w:color="auto" w:fill="auto"/>
            <w:noWrap/>
            <w:vAlign w:val="bottom"/>
            <w:hideMark/>
          </w:tcPr>
          <w:p w14:paraId="7AD58162" w14:textId="7E231D9E" w:rsidR="00552EF7" w:rsidRPr="00E21717" w:rsidRDefault="00BB1075" w:rsidP="00B86BE9">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2.13</w:t>
            </w:r>
          </w:p>
        </w:tc>
        <w:tc>
          <w:tcPr>
            <w:tcW w:w="2041" w:type="dxa"/>
            <w:tcBorders>
              <w:top w:val="nil"/>
              <w:left w:val="nil"/>
              <w:bottom w:val="nil"/>
              <w:right w:val="nil"/>
            </w:tcBorders>
            <w:shd w:val="clear" w:color="auto" w:fill="auto"/>
            <w:noWrap/>
            <w:vAlign w:val="bottom"/>
            <w:hideMark/>
          </w:tcPr>
          <w:p w14:paraId="6BD17F50" w14:textId="2D4A6952" w:rsidR="00552EF7" w:rsidRPr="00E21717" w:rsidRDefault="00BB1075" w:rsidP="00B86BE9">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0.91</w:t>
            </w:r>
          </w:p>
        </w:tc>
        <w:tc>
          <w:tcPr>
            <w:tcW w:w="1536" w:type="dxa"/>
            <w:tcBorders>
              <w:top w:val="nil"/>
              <w:left w:val="nil"/>
              <w:bottom w:val="nil"/>
              <w:right w:val="nil"/>
            </w:tcBorders>
            <w:shd w:val="clear" w:color="auto" w:fill="auto"/>
            <w:noWrap/>
            <w:vAlign w:val="bottom"/>
            <w:hideMark/>
          </w:tcPr>
          <w:p w14:paraId="5F0E23DC" w14:textId="593544CC" w:rsidR="00552EF7" w:rsidRPr="00E21717" w:rsidRDefault="00BB1075" w:rsidP="00B86BE9">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1.05</w:t>
            </w:r>
          </w:p>
        </w:tc>
      </w:tr>
      <w:tr w:rsidR="00552EF7" w:rsidRPr="00E21717" w14:paraId="2C502319" w14:textId="77777777" w:rsidTr="00B86BE9">
        <w:trPr>
          <w:trHeight w:val="302"/>
        </w:trPr>
        <w:tc>
          <w:tcPr>
            <w:tcW w:w="3031" w:type="dxa"/>
            <w:tcBorders>
              <w:top w:val="nil"/>
              <w:left w:val="nil"/>
              <w:bottom w:val="nil"/>
              <w:right w:val="nil"/>
            </w:tcBorders>
            <w:shd w:val="clear" w:color="auto" w:fill="auto"/>
            <w:noWrap/>
            <w:vAlign w:val="bottom"/>
            <w:hideMark/>
          </w:tcPr>
          <w:p w14:paraId="79B0D0E2" w14:textId="77777777" w:rsidR="00552EF7" w:rsidRPr="00E21717" w:rsidRDefault="00552EF7" w:rsidP="00B86BE9">
            <w:pPr>
              <w:rPr>
                <w:rFonts w:ascii="dcr10" w:eastAsia="Times New Roman" w:hAnsi="dcr10" w:cs="Times New Roman"/>
                <w:i/>
                <w:iCs/>
                <w:color w:val="000000"/>
                <w:sz w:val="17"/>
                <w:szCs w:val="17"/>
              </w:rPr>
            </w:pPr>
            <w:r w:rsidRPr="00E21717">
              <w:rPr>
                <w:rFonts w:ascii="dcr10" w:eastAsia="Times New Roman" w:hAnsi="dcr10" w:cs="Times New Roman"/>
                <w:i/>
                <w:iCs/>
                <w:color w:val="0000FF"/>
                <w:sz w:val="18"/>
                <w:szCs w:val="18"/>
              </w:rPr>
              <w:t xml:space="preserve">Big 6 </w:t>
            </w:r>
            <w:r>
              <w:rPr>
                <w:rFonts w:ascii="dcr10" w:eastAsia="Times New Roman" w:hAnsi="dcr10" w:cs="Times New Roman"/>
                <w:i/>
                <w:iCs/>
                <w:color w:val="0000FF"/>
                <w:sz w:val="18"/>
                <w:szCs w:val="18"/>
              </w:rPr>
              <w:t>Median</w:t>
            </w:r>
            <w:r w:rsidRPr="00E21717">
              <w:rPr>
                <w:rFonts w:ascii="dcr10" w:eastAsia="Times New Roman" w:hAnsi="dcr10" w:cs="Times New Roman"/>
                <w:i/>
                <w:iCs/>
                <w:color w:val="0000FF"/>
                <w:sz w:val="18"/>
                <w:szCs w:val="18"/>
              </w:rPr>
              <w:t xml:space="preserve"> </w:t>
            </w:r>
          </w:p>
        </w:tc>
        <w:tc>
          <w:tcPr>
            <w:tcW w:w="1879" w:type="dxa"/>
            <w:tcBorders>
              <w:top w:val="nil"/>
              <w:left w:val="nil"/>
              <w:bottom w:val="nil"/>
              <w:right w:val="nil"/>
            </w:tcBorders>
            <w:shd w:val="clear" w:color="auto" w:fill="auto"/>
            <w:noWrap/>
            <w:vAlign w:val="bottom"/>
            <w:hideMark/>
          </w:tcPr>
          <w:p w14:paraId="0F4A708E" w14:textId="0216E402" w:rsidR="00552EF7" w:rsidRPr="00E21717" w:rsidRDefault="00BB1075" w:rsidP="00B86BE9">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2.20</w:t>
            </w:r>
          </w:p>
        </w:tc>
        <w:tc>
          <w:tcPr>
            <w:tcW w:w="2041" w:type="dxa"/>
            <w:tcBorders>
              <w:top w:val="nil"/>
              <w:left w:val="nil"/>
              <w:bottom w:val="nil"/>
              <w:right w:val="nil"/>
            </w:tcBorders>
            <w:shd w:val="clear" w:color="auto" w:fill="auto"/>
            <w:noWrap/>
            <w:vAlign w:val="bottom"/>
            <w:hideMark/>
          </w:tcPr>
          <w:p w14:paraId="35CCB434" w14:textId="79675584" w:rsidR="00552EF7" w:rsidRPr="00E21717" w:rsidRDefault="00BB1075" w:rsidP="00B86BE9">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0.91</w:t>
            </w:r>
          </w:p>
        </w:tc>
        <w:tc>
          <w:tcPr>
            <w:tcW w:w="1536" w:type="dxa"/>
            <w:tcBorders>
              <w:top w:val="nil"/>
              <w:left w:val="nil"/>
              <w:bottom w:val="nil"/>
              <w:right w:val="nil"/>
            </w:tcBorders>
            <w:shd w:val="clear" w:color="auto" w:fill="auto"/>
            <w:noWrap/>
            <w:vAlign w:val="bottom"/>
            <w:hideMark/>
          </w:tcPr>
          <w:p w14:paraId="092A06B6" w14:textId="06389AF2" w:rsidR="00552EF7" w:rsidRPr="00E21717" w:rsidRDefault="00BB1075" w:rsidP="00B86BE9">
            <w:pPr>
              <w:jc w:val="center"/>
              <w:rPr>
                <w:rFonts w:ascii="dcr10" w:eastAsia="Times New Roman" w:hAnsi="dcr10" w:cs="Times New Roman"/>
                <w:i/>
                <w:iCs/>
                <w:color w:val="000000"/>
                <w:sz w:val="17"/>
                <w:szCs w:val="17"/>
              </w:rPr>
            </w:pPr>
            <w:r>
              <w:rPr>
                <w:rFonts w:ascii="dcr10" w:eastAsia="Times New Roman" w:hAnsi="dcr10" w:cs="Times New Roman"/>
                <w:i/>
                <w:iCs/>
                <w:color w:val="0000FF"/>
                <w:sz w:val="18"/>
                <w:szCs w:val="18"/>
              </w:rPr>
              <w:t>1.02</w:t>
            </w:r>
          </w:p>
        </w:tc>
      </w:tr>
      <w:bookmarkEnd w:id="0"/>
    </w:tbl>
    <w:p w14:paraId="1AADD94C" w14:textId="77777777" w:rsidR="00466961" w:rsidRPr="00E21717" w:rsidRDefault="00466961" w:rsidP="002144A2">
      <w:pPr>
        <w:rPr>
          <w:rFonts w:ascii="dcr10" w:hAnsi="dcr10"/>
        </w:rPr>
      </w:pPr>
    </w:p>
    <w:sectPr w:rsidR="00466961" w:rsidRPr="00E21717" w:rsidSect="00170627">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A19959" w14:textId="77777777" w:rsidR="00F316A2" w:rsidRDefault="00F316A2" w:rsidP="00E21717">
      <w:r>
        <w:separator/>
      </w:r>
    </w:p>
  </w:endnote>
  <w:endnote w:type="continuationSeparator" w:id="0">
    <w:p w14:paraId="54220F60" w14:textId="77777777" w:rsidR="00F316A2" w:rsidRDefault="00F316A2" w:rsidP="00E21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dcr10">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6C678A" w14:textId="77777777" w:rsidR="00F316A2" w:rsidRDefault="00F316A2" w:rsidP="00E21717">
      <w:r>
        <w:separator/>
      </w:r>
    </w:p>
  </w:footnote>
  <w:footnote w:type="continuationSeparator" w:id="0">
    <w:p w14:paraId="322A50DA" w14:textId="77777777" w:rsidR="00F316A2" w:rsidRDefault="00F316A2" w:rsidP="00E217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4A2"/>
    <w:rsid w:val="0008261B"/>
    <w:rsid w:val="000F77B4"/>
    <w:rsid w:val="0010288E"/>
    <w:rsid w:val="00116E02"/>
    <w:rsid w:val="00161321"/>
    <w:rsid w:val="00170627"/>
    <w:rsid w:val="00173702"/>
    <w:rsid w:val="00185983"/>
    <w:rsid w:val="001F0262"/>
    <w:rsid w:val="002144A2"/>
    <w:rsid w:val="00316360"/>
    <w:rsid w:val="00320097"/>
    <w:rsid w:val="00347726"/>
    <w:rsid w:val="00360B61"/>
    <w:rsid w:val="00371459"/>
    <w:rsid w:val="0038727B"/>
    <w:rsid w:val="003A6585"/>
    <w:rsid w:val="0040107F"/>
    <w:rsid w:val="00422A4F"/>
    <w:rsid w:val="00432500"/>
    <w:rsid w:val="00466961"/>
    <w:rsid w:val="004D378D"/>
    <w:rsid w:val="00503847"/>
    <w:rsid w:val="0052181E"/>
    <w:rsid w:val="00552EF7"/>
    <w:rsid w:val="005978A5"/>
    <w:rsid w:val="005B2959"/>
    <w:rsid w:val="00605E32"/>
    <w:rsid w:val="00610D60"/>
    <w:rsid w:val="0064379B"/>
    <w:rsid w:val="00666717"/>
    <w:rsid w:val="006C76BA"/>
    <w:rsid w:val="008D2A02"/>
    <w:rsid w:val="008E1464"/>
    <w:rsid w:val="008E3E4F"/>
    <w:rsid w:val="008F46C6"/>
    <w:rsid w:val="008F69C1"/>
    <w:rsid w:val="00965EC4"/>
    <w:rsid w:val="009E4948"/>
    <w:rsid w:val="00A55550"/>
    <w:rsid w:val="00A942C1"/>
    <w:rsid w:val="00B2280B"/>
    <w:rsid w:val="00B2774E"/>
    <w:rsid w:val="00B86BE9"/>
    <w:rsid w:val="00BB1075"/>
    <w:rsid w:val="00BC1E5F"/>
    <w:rsid w:val="00BE3E19"/>
    <w:rsid w:val="00C04984"/>
    <w:rsid w:val="00C2334E"/>
    <w:rsid w:val="00D90CED"/>
    <w:rsid w:val="00D959DF"/>
    <w:rsid w:val="00D964DB"/>
    <w:rsid w:val="00E21717"/>
    <w:rsid w:val="00E32323"/>
    <w:rsid w:val="00F316A2"/>
    <w:rsid w:val="00F37BFE"/>
    <w:rsid w:val="00F902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8F54E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1717"/>
    <w:pPr>
      <w:tabs>
        <w:tab w:val="center" w:pos="4320"/>
        <w:tab w:val="right" w:pos="8640"/>
      </w:tabs>
    </w:pPr>
  </w:style>
  <w:style w:type="character" w:customStyle="1" w:styleId="HeaderChar">
    <w:name w:val="Header Char"/>
    <w:basedOn w:val="DefaultParagraphFont"/>
    <w:link w:val="Header"/>
    <w:uiPriority w:val="99"/>
    <w:rsid w:val="00E21717"/>
  </w:style>
  <w:style w:type="paragraph" w:styleId="Footer">
    <w:name w:val="footer"/>
    <w:basedOn w:val="Normal"/>
    <w:link w:val="FooterChar"/>
    <w:uiPriority w:val="99"/>
    <w:unhideWhenUsed/>
    <w:rsid w:val="00E21717"/>
    <w:pPr>
      <w:tabs>
        <w:tab w:val="center" w:pos="4320"/>
        <w:tab w:val="right" w:pos="8640"/>
      </w:tabs>
    </w:pPr>
  </w:style>
  <w:style w:type="character" w:customStyle="1" w:styleId="FooterChar">
    <w:name w:val="Footer Char"/>
    <w:basedOn w:val="DefaultParagraphFont"/>
    <w:link w:val="Footer"/>
    <w:uiPriority w:val="99"/>
    <w:rsid w:val="00E2171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1717"/>
    <w:pPr>
      <w:tabs>
        <w:tab w:val="center" w:pos="4320"/>
        <w:tab w:val="right" w:pos="8640"/>
      </w:tabs>
    </w:pPr>
  </w:style>
  <w:style w:type="character" w:customStyle="1" w:styleId="HeaderChar">
    <w:name w:val="Header Char"/>
    <w:basedOn w:val="DefaultParagraphFont"/>
    <w:link w:val="Header"/>
    <w:uiPriority w:val="99"/>
    <w:rsid w:val="00E21717"/>
  </w:style>
  <w:style w:type="paragraph" w:styleId="Footer">
    <w:name w:val="footer"/>
    <w:basedOn w:val="Normal"/>
    <w:link w:val="FooterChar"/>
    <w:uiPriority w:val="99"/>
    <w:unhideWhenUsed/>
    <w:rsid w:val="00E21717"/>
    <w:pPr>
      <w:tabs>
        <w:tab w:val="center" w:pos="4320"/>
        <w:tab w:val="right" w:pos="8640"/>
      </w:tabs>
    </w:pPr>
  </w:style>
  <w:style w:type="character" w:customStyle="1" w:styleId="FooterChar">
    <w:name w:val="Footer Char"/>
    <w:basedOn w:val="DefaultParagraphFont"/>
    <w:link w:val="Footer"/>
    <w:uiPriority w:val="99"/>
    <w:rsid w:val="00E217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86196">
      <w:bodyDiv w:val="1"/>
      <w:marLeft w:val="0"/>
      <w:marRight w:val="0"/>
      <w:marTop w:val="0"/>
      <w:marBottom w:val="0"/>
      <w:divBdr>
        <w:top w:val="none" w:sz="0" w:space="0" w:color="auto"/>
        <w:left w:val="none" w:sz="0" w:space="0" w:color="auto"/>
        <w:bottom w:val="none" w:sz="0" w:space="0" w:color="auto"/>
        <w:right w:val="none" w:sz="0" w:space="0" w:color="auto"/>
      </w:divBdr>
    </w:div>
    <w:div w:id="273370246">
      <w:bodyDiv w:val="1"/>
      <w:marLeft w:val="0"/>
      <w:marRight w:val="0"/>
      <w:marTop w:val="0"/>
      <w:marBottom w:val="0"/>
      <w:divBdr>
        <w:top w:val="none" w:sz="0" w:space="0" w:color="auto"/>
        <w:left w:val="none" w:sz="0" w:space="0" w:color="auto"/>
        <w:bottom w:val="none" w:sz="0" w:space="0" w:color="auto"/>
        <w:right w:val="none" w:sz="0" w:space="0" w:color="auto"/>
      </w:divBdr>
    </w:div>
    <w:div w:id="859010175">
      <w:bodyDiv w:val="1"/>
      <w:marLeft w:val="0"/>
      <w:marRight w:val="0"/>
      <w:marTop w:val="0"/>
      <w:marBottom w:val="0"/>
      <w:divBdr>
        <w:top w:val="none" w:sz="0" w:space="0" w:color="auto"/>
        <w:left w:val="none" w:sz="0" w:space="0" w:color="auto"/>
        <w:bottom w:val="none" w:sz="0" w:space="0" w:color="auto"/>
        <w:right w:val="none" w:sz="0" w:space="0" w:color="auto"/>
      </w:divBdr>
    </w:div>
    <w:div w:id="1364938716">
      <w:bodyDiv w:val="1"/>
      <w:marLeft w:val="0"/>
      <w:marRight w:val="0"/>
      <w:marTop w:val="0"/>
      <w:marBottom w:val="0"/>
      <w:divBdr>
        <w:top w:val="none" w:sz="0" w:space="0" w:color="auto"/>
        <w:left w:val="none" w:sz="0" w:space="0" w:color="auto"/>
        <w:bottom w:val="none" w:sz="0" w:space="0" w:color="auto"/>
        <w:right w:val="none" w:sz="0" w:space="0" w:color="auto"/>
      </w:divBdr>
    </w:div>
    <w:div w:id="1446002478">
      <w:bodyDiv w:val="1"/>
      <w:marLeft w:val="0"/>
      <w:marRight w:val="0"/>
      <w:marTop w:val="0"/>
      <w:marBottom w:val="0"/>
      <w:divBdr>
        <w:top w:val="none" w:sz="0" w:space="0" w:color="auto"/>
        <w:left w:val="none" w:sz="0" w:space="0" w:color="auto"/>
        <w:bottom w:val="none" w:sz="0" w:space="0" w:color="auto"/>
        <w:right w:val="none" w:sz="0" w:space="0" w:color="auto"/>
      </w:divBdr>
    </w:div>
    <w:div w:id="1779062700">
      <w:bodyDiv w:val="1"/>
      <w:marLeft w:val="0"/>
      <w:marRight w:val="0"/>
      <w:marTop w:val="0"/>
      <w:marBottom w:val="0"/>
      <w:divBdr>
        <w:top w:val="none" w:sz="0" w:space="0" w:color="auto"/>
        <w:left w:val="none" w:sz="0" w:space="0" w:color="auto"/>
        <w:bottom w:val="none" w:sz="0" w:space="0" w:color="auto"/>
        <w:right w:val="none" w:sz="0" w:space="0" w:color="auto"/>
      </w:divBdr>
    </w:div>
    <w:div w:id="19767175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5F543-4817-0F4A-B777-6090A7629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10</Pages>
  <Words>2346</Words>
  <Characters>13377</Characters>
  <Application>Microsoft Macintosh Word</Application>
  <DocSecurity>0</DocSecurity>
  <Lines>111</Lines>
  <Paragraphs>31</Paragraphs>
  <ScaleCrop>false</ScaleCrop>
  <Company>Harvard Econ</Company>
  <LinksUpToDate>false</LinksUpToDate>
  <CharactersWithSpaces>15692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Sarin</dc:creator>
  <cp:keywords/>
  <dc:description/>
  <cp:lastModifiedBy>Natasha Sarin</cp:lastModifiedBy>
  <cp:revision>32</cp:revision>
  <cp:lastPrinted>2016-02-20T18:26:00Z</cp:lastPrinted>
  <dcterms:created xsi:type="dcterms:W3CDTF">2016-02-16T23:23:00Z</dcterms:created>
  <dcterms:modified xsi:type="dcterms:W3CDTF">2016-02-21T06:17:00Z</dcterms:modified>
</cp:coreProperties>
</file>